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1FE2" w:rsidRDefault="00AD3745" w:rsidP="00141FE2">
      <w:pPr>
        <w:jc w:val="center"/>
      </w:pPr>
      <w:r>
        <w:rPr>
          <w:bCs/>
          <w:kern w:val="28"/>
          <w:sz w:val="48"/>
          <w:szCs w:val="48"/>
          <w:lang w:eastAsia="x-none"/>
        </w:rPr>
        <w:t>Field Quality and Fabrication Analysis of HQ02 Reconstructed Nb</w:t>
      </w:r>
      <w:r w:rsidRPr="009D4D96">
        <w:rPr>
          <w:bCs/>
          <w:kern w:val="28"/>
          <w:sz w:val="48"/>
          <w:szCs w:val="48"/>
          <w:vertAlign w:val="subscript"/>
          <w:lang w:eastAsia="x-none"/>
        </w:rPr>
        <w:t>3</w:t>
      </w:r>
      <w:r>
        <w:rPr>
          <w:bCs/>
          <w:kern w:val="28"/>
          <w:sz w:val="48"/>
          <w:szCs w:val="48"/>
          <w:lang w:eastAsia="x-none"/>
        </w:rPr>
        <w:t>Sn Coil Cross Sections</w:t>
      </w:r>
    </w:p>
    <w:p w:rsidR="00B9536D" w:rsidRDefault="00B9536D" w:rsidP="00AD3745">
      <w:pPr>
        <w:pStyle w:val="Authors"/>
      </w:pPr>
      <w:r>
        <w:t xml:space="preserve"> </w:t>
      </w:r>
      <w:r w:rsidR="00493016" w:rsidRPr="00AD3745">
        <w:t xml:space="preserve">E.F. Holik, </w:t>
      </w:r>
      <w:r w:rsidR="00AD3745" w:rsidRPr="00AD3745">
        <w:t xml:space="preserve">G. Ambrosio, A. Carbonara, D.R. Dietderich, </w:t>
      </w:r>
      <w:r w:rsidR="0025549F">
        <w:t xml:space="preserve">J. Dimarco, </w:t>
      </w:r>
      <w:r w:rsidR="00AD3745" w:rsidRPr="00AD3745">
        <w:t>I. Pong, G.L. Sabbi</w:t>
      </w:r>
      <w:r w:rsidR="00493016">
        <w:t>, C. Santini</w:t>
      </w:r>
      <w:r w:rsidR="00AD3745" w:rsidRPr="00AD3745">
        <w:t>, J. Schmalzle, X. Wang</w:t>
      </w:r>
    </w:p>
    <w:p w:rsidR="00D0600B" w:rsidRDefault="00D0600B" w:rsidP="00B9536D"/>
    <w:p w:rsidR="00B9536D" w:rsidRPr="00B9536D" w:rsidRDefault="00B9536D" w:rsidP="00B9536D"/>
    <w:p w:rsidR="00D46A19" w:rsidRPr="00D46A19" w:rsidRDefault="00D46A19" w:rsidP="00D46A19">
      <w:pPr>
        <w:sectPr w:rsidR="00D46A19" w:rsidRPr="00D46A19" w:rsidSect="00D46A19">
          <w:headerReference w:type="even" r:id="rId8"/>
          <w:headerReference w:type="default" r:id="rId9"/>
          <w:footerReference w:type="default" r:id="rId10"/>
          <w:type w:val="continuous"/>
          <w:pgSz w:w="12240" w:h="15840" w:code="1"/>
          <w:pgMar w:top="1008" w:right="936" w:bottom="1008" w:left="936" w:header="432" w:footer="432" w:gutter="0"/>
          <w:cols w:space="288"/>
        </w:sectPr>
      </w:pPr>
    </w:p>
    <w:p w:rsidR="00141FE2" w:rsidRPr="001C7B92" w:rsidRDefault="00B9536D" w:rsidP="00141FE2">
      <w:pPr>
        <w:pStyle w:val="Abstract"/>
      </w:pPr>
      <w:r w:rsidRPr="00B9536D">
        <w:rPr>
          <w:i/>
        </w:rPr>
        <w:t>Abstract</w:t>
      </w:r>
      <w:r>
        <w:t>—</w:t>
      </w:r>
      <w:r w:rsidR="005D1213" w:rsidRPr="005D1213">
        <w:t xml:space="preserve"> </w:t>
      </w:r>
      <w:r w:rsidR="00AD3745" w:rsidRPr="00AD3745">
        <w:t xml:space="preserve">The US LHC </w:t>
      </w:r>
      <w:r w:rsidR="00AD3745" w:rsidRPr="001C7B92">
        <w:t xml:space="preserve">Accelerator Research Program (LARP) quadrupole HQ02 was designed and fully tested as part of the low-beta quad development for Hi-Lumi LHC. HQ02’s design is well documented with full fabrication accounting along with full field analysis at low and high current. With this history, HQ02 is an excellent test bed for developing a methodology for measuring turn locations from magnet cross sections and comparing with CAD models and measured field. All 4 coils of HQ02 were cut in identical locations along the magnetic length corresponding to magnetic field measurement and coil metrology. </w:t>
      </w:r>
      <w:r w:rsidR="0025549F" w:rsidRPr="001C7B92">
        <w:t>A</w:t>
      </w:r>
      <w:r w:rsidR="00AD3745" w:rsidRPr="001C7B92">
        <w:t xml:space="preserve"> real-time camera and coordinate measuring equipment </w:t>
      </w:r>
      <w:r w:rsidR="0025549F" w:rsidRPr="001C7B92">
        <w:t xml:space="preserve">was used </w:t>
      </w:r>
      <w:r w:rsidR="00AD3745" w:rsidRPr="001C7B92">
        <w:t>to plot turn corners. Measurements include systematic and random displacements of winding blocks and individual turns along the magnetic length. The range of cable shifts and the field harmonic range along the length are in agreement, although correlating turn locations and measured harmonics in each cross section is challenging.</w:t>
      </w:r>
    </w:p>
    <w:p w:rsidR="00B9536D" w:rsidRPr="001C7B92" w:rsidRDefault="00B9536D" w:rsidP="00B9536D">
      <w:pPr>
        <w:pStyle w:val="Text"/>
        <w:ind w:firstLine="0"/>
        <w:rPr>
          <w:sz w:val="18"/>
          <w:szCs w:val="18"/>
        </w:rPr>
      </w:pPr>
      <w:r w:rsidRPr="001C7B92">
        <w:rPr>
          <w:sz w:val="18"/>
          <w:szCs w:val="18"/>
        </w:rPr>
        <w:footnoteReference w:customMarkFollows="1" w:id="1"/>
        <w:sym w:font="Symbol" w:char="F020"/>
      </w:r>
    </w:p>
    <w:p w:rsidR="00141FE2" w:rsidRPr="001C7B92" w:rsidRDefault="00141FE2" w:rsidP="00141FE2">
      <w:pPr>
        <w:pStyle w:val="IndexTerms"/>
      </w:pPr>
      <w:r w:rsidRPr="001C7B92">
        <w:rPr>
          <w:i/>
          <w:iCs/>
        </w:rPr>
        <w:t>Index Terms</w:t>
      </w:r>
      <w:r w:rsidRPr="001C7B92">
        <w:t>—</w:t>
      </w:r>
      <w:r w:rsidR="005B4CA5" w:rsidRPr="001C7B92">
        <w:t xml:space="preserve"> </w:t>
      </w:r>
      <w:r w:rsidR="00C6374A" w:rsidRPr="001C7B92">
        <w:t xml:space="preserve"> </w:t>
      </w:r>
      <w:r w:rsidR="0012355A" w:rsidRPr="001C7B92">
        <w:t>Accelerator Magnets, IR Quadrupoles, Magnet analysis techniques</w:t>
      </w:r>
      <w:r w:rsidR="00651C5F" w:rsidRPr="001C7B92">
        <w:t>‎</w:t>
      </w:r>
      <w:r w:rsidRPr="001C7B92">
        <w:t xml:space="preserve">. </w:t>
      </w:r>
    </w:p>
    <w:p w:rsidR="00141FE2" w:rsidRPr="001C7B92" w:rsidRDefault="00141FE2" w:rsidP="00141FE2"/>
    <w:p w:rsidR="00141FE2" w:rsidRPr="001C7B92" w:rsidRDefault="00141FE2" w:rsidP="00141FE2">
      <w:pPr>
        <w:pStyle w:val="Heading1"/>
      </w:pPr>
      <w:r w:rsidRPr="001C7B92">
        <w:t>Introduction</w:t>
      </w:r>
    </w:p>
    <w:p w:rsidR="00141FE2" w:rsidRPr="001C7B92" w:rsidRDefault="00141FE2" w:rsidP="00141FE2">
      <w:pPr>
        <w:pStyle w:val="Text"/>
        <w:keepNext/>
        <w:framePr w:dropCap="drop" w:lines="2" w:wrap="around" w:vAnchor="text" w:hAnchor="text"/>
        <w:spacing w:line="480" w:lineRule="exact"/>
        <w:ind w:firstLine="0"/>
        <w:rPr>
          <w:sz w:val="52"/>
          <w:szCs w:val="52"/>
        </w:rPr>
      </w:pPr>
      <w:r w:rsidRPr="001C7B92">
        <w:rPr>
          <w:sz w:val="52"/>
          <w:szCs w:val="52"/>
        </w:rPr>
        <w:t>T</w:t>
      </w:r>
    </w:p>
    <w:p w:rsidR="0002387D" w:rsidRPr="001C7B92" w:rsidRDefault="00430A49" w:rsidP="00430A49">
      <w:pPr>
        <w:pStyle w:val="Text"/>
        <w:ind w:firstLine="0"/>
      </w:pPr>
      <w:r w:rsidRPr="001C7B92">
        <w:rPr>
          <w:smallCaps/>
        </w:rPr>
        <w:t>he</w:t>
      </w:r>
      <w:r w:rsidR="00141FE2" w:rsidRPr="001C7B92">
        <w:rPr>
          <w:smallCaps/>
        </w:rPr>
        <w:t xml:space="preserve"> </w:t>
      </w:r>
      <w:r w:rsidRPr="001C7B92">
        <w:t>Hi-Lumi LHC upgrade requires ultra-high performance Nb</w:t>
      </w:r>
      <w:r w:rsidRPr="001C7B92">
        <w:rPr>
          <w:vertAlign w:val="subscript"/>
        </w:rPr>
        <w:t>3</w:t>
      </w:r>
      <w:r w:rsidRPr="001C7B92">
        <w:t xml:space="preserve">Sn quadrupoles for </w:t>
      </w:r>
      <w:r w:rsidR="003B147F" w:rsidRPr="001C7B92">
        <w:t>focusing</w:t>
      </w:r>
      <w:r w:rsidRPr="001C7B92">
        <w:t xml:space="preserve"> the beam at collision points. The integrated luminosity of the LHC is slated to increase by a factor of 10 by </w:t>
      </w:r>
      <w:r w:rsidR="003B147F" w:rsidRPr="001C7B92">
        <w:t xml:space="preserve">the end of the project in </w:t>
      </w:r>
      <w:r w:rsidR="0099035A" w:rsidRPr="001C7B92">
        <w:t>2025 [1]. High-performance Nb</w:t>
      </w:r>
      <w:r w:rsidR="0099035A" w:rsidRPr="001C7B92">
        <w:rPr>
          <w:vertAlign w:val="subscript"/>
        </w:rPr>
        <w:t>3</w:t>
      </w:r>
      <w:r w:rsidR="0099035A" w:rsidRPr="001C7B92">
        <w:t>Sn final-focusing, Interaction Region (IR) quadrupoles are one of the enabling technology for the luminosity upgrade. These</w:t>
      </w:r>
      <w:r w:rsidR="007663EC" w:rsidRPr="001C7B92">
        <w:t xml:space="preserve"> 150-mm-aperture</w:t>
      </w:r>
      <w:r w:rsidR="0055448E" w:rsidRPr="001C7B92">
        <w:t xml:space="preserve"> quadrupoles have </w:t>
      </w:r>
      <w:r w:rsidR="0099035A" w:rsidRPr="001C7B92">
        <w:t xml:space="preserve">stringent </w:t>
      </w:r>
      <w:r w:rsidR="0055448E" w:rsidRPr="001C7B92">
        <w:t xml:space="preserve">field quality requirements to maximize the instantaneous luminosity </w:t>
      </w:r>
      <w:r w:rsidR="0025198E" w:rsidRPr="001C7B92">
        <w:t xml:space="preserve">and minimize beam loss </w:t>
      </w:r>
      <w:r w:rsidR="007663EC" w:rsidRPr="001C7B92">
        <w:t>[2</w:t>
      </w:r>
      <w:r w:rsidR="0055448E" w:rsidRPr="001C7B92">
        <w:t xml:space="preserve">]. </w:t>
      </w:r>
      <w:r w:rsidR="007663EC" w:rsidRPr="001C7B92">
        <w:t>With this in mind, s</w:t>
      </w:r>
      <w:r w:rsidR="0055448E" w:rsidRPr="001C7B92">
        <w:t xml:space="preserve">everal studies have </w:t>
      </w:r>
      <w:r w:rsidR="007663EC" w:rsidRPr="001C7B92">
        <w:t xml:space="preserve">sought to understand the origin of field quality aberrations at the coil level for both dipoles [3-5] and focusing quadrupoles [6-7]. </w:t>
      </w:r>
      <w:r w:rsidR="0025198E" w:rsidRPr="001C7B92">
        <w:t xml:space="preserve">The majority of previous work sought to determine conductor and component misalignment based on measured field quality for multiple magnets [3-7]. This work attempts to link the field quality of a single magnet with measured turn displacements from coil </w:t>
      </w:r>
      <w:r w:rsidR="0025198E" w:rsidRPr="001C7B92">
        <w:t xml:space="preserve">cross sections. This link will be shown in two broad steps: first to quantify turn location and turn movement with respect to nominal and then determine expected magnet field variance and quality in HQ02 based on turn location. </w:t>
      </w:r>
      <w:r w:rsidR="007663EC" w:rsidRPr="001C7B92">
        <w:t xml:space="preserve">LARP has been gradually developing IR quadrupoles for Hi-Lumi LHC since 2004 [8]. </w:t>
      </w:r>
      <w:r w:rsidRPr="001C7B92">
        <w:t>HQ02 was an intermediat</w:t>
      </w:r>
      <w:r w:rsidR="00AB021A" w:rsidRPr="001C7B92">
        <w:t>e generation magnet with 120-mm-</w:t>
      </w:r>
      <w:r w:rsidRPr="001C7B92">
        <w:t>aperture to test several aspects of superconducting quadrupole construction and operation [</w:t>
      </w:r>
      <w:r w:rsidR="007663EC" w:rsidRPr="001C7B92">
        <w:t>9-11</w:t>
      </w:r>
      <w:r w:rsidRPr="001C7B92">
        <w:t>].</w:t>
      </w:r>
      <w:r w:rsidR="00014842" w:rsidRPr="001C7B92">
        <w:t xml:space="preserve"> </w:t>
      </w:r>
      <w:r w:rsidRPr="001C7B92">
        <w:t xml:space="preserve">The magnetic field harmonics of HQ02 were measured along the length of the magnet after magnet assembly and at full field </w:t>
      </w:r>
      <w:r w:rsidR="0099035A" w:rsidRPr="001C7B92">
        <w:t xml:space="preserve">in preparation for Hi-Lumi LHC </w:t>
      </w:r>
      <w:r w:rsidRPr="001C7B92">
        <w:t>[</w:t>
      </w:r>
      <w:r w:rsidR="00FE7189" w:rsidRPr="001C7B92">
        <w:t>12-13</w:t>
      </w:r>
      <w:r w:rsidRPr="001C7B92">
        <w:t>]. Afterwards, all 4 coils of the magnet were cut at specific locations along the length coinciding with magnetic field measurements. Ultimately the measured field quality during magnet testing will be compared to the calculated field quality from magnet cross sections.</w:t>
      </w:r>
    </w:p>
    <w:p w:rsidR="0002387D" w:rsidRPr="001C7B92" w:rsidRDefault="0002387D" w:rsidP="0002387D">
      <w:pPr>
        <w:pStyle w:val="Heading1"/>
      </w:pPr>
      <w:r w:rsidRPr="001C7B92">
        <w:t>HQ02 Cross Section Data Collection</w:t>
      </w:r>
    </w:p>
    <w:p w:rsidR="0002387D" w:rsidRPr="001C7B92" w:rsidRDefault="0002387D" w:rsidP="0002387D">
      <w:pPr>
        <w:pStyle w:val="Text"/>
        <w:rPr>
          <w:lang w:eastAsia="x-none"/>
        </w:rPr>
      </w:pPr>
      <w:r w:rsidRPr="001C7B92">
        <w:rPr>
          <w:lang w:eastAsia="x-none"/>
        </w:rPr>
        <w:t>The magnet HQ02 was comprised of coils HQ15, HQ16, HQ17, and HQ20</w:t>
      </w:r>
      <w:r w:rsidR="0025198E" w:rsidRPr="001C7B92">
        <w:rPr>
          <w:lang w:eastAsia="x-none"/>
        </w:rPr>
        <w:t xml:space="preserve"> [</w:t>
      </w:r>
      <w:r w:rsidR="0099035A" w:rsidRPr="001C7B92">
        <w:rPr>
          <w:lang w:eastAsia="x-none"/>
        </w:rPr>
        <w:t>9</w:t>
      </w:r>
      <w:r w:rsidR="00AB021A" w:rsidRPr="001C7B92">
        <w:rPr>
          <w:lang w:eastAsia="x-none"/>
        </w:rPr>
        <w:t>]</w:t>
      </w:r>
      <w:r w:rsidRPr="001C7B92">
        <w:rPr>
          <w:lang w:eastAsia="x-none"/>
        </w:rPr>
        <w:t xml:space="preserve">. All four coils are nominally the same design and size. HQ17 had braided-on type cable insulation while the other three had sock type insulation. Braided-on S2 glass insulation tends to </w:t>
      </w:r>
      <w:r w:rsidR="00A80417" w:rsidRPr="001C7B92">
        <w:rPr>
          <w:lang w:eastAsia="x-none"/>
        </w:rPr>
        <w:t>constrict</w:t>
      </w:r>
      <w:r w:rsidR="00231E93" w:rsidRPr="001C7B92">
        <w:rPr>
          <w:lang w:eastAsia="x-none"/>
        </w:rPr>
        <w:t xml:space="preserve"> lateral growth during heat treatment and reduce the length contraction</w:t>
      </w:r>
      <w:r w:rsidRPr="001C7B92">
        <w:rPr>
          <w:lang w:eastAsia="x-none"/>
        </w:rPr>
        <w:t xml:space="preserve"> of conductor</w:t>
      </w:r>
      <w:r w:rsidR="00231E93" w:rsidRPr="001C7B92">
        <w:rPr>
          <w:lang w:eastAsia="x-none"/>
        </w:rPr>
        <w:t xml:space="preserve"> during heat treatment [</w:t>
      </w:r>
      <w:r w:rsidR="0025198E" w:rsidRPr="001C7B92">
        <w:rPr>
          <w:lang w:eastAsia="x-none"/>
        </w:rPr>
        <w:t>14</w:t>
      </w:r>
      <w:r w:rsidR="00231E93" w:rsidRPr="001C7B92">
        <w:rPr>
          <w:lang w:eastAsia="x-none"/>
        </w:rPr>
        <w:t>]. Coil HQ17 was thus analyzed indepen</w:t>
      </w:r>
      <w:r w:rsidR="00252473" w:rsidRPr="001C7B92">
        <w:rPr>
          <w:lang w:eastAsia="x-none"/>
        </w:rPr>
        <w:t>dently of the other three coils.</w:t>
      </w:r>
    </w:p>
    <w:p w:rsidR="0002387D" w:rsidRPr="001C7B92" w:rsidRDefault="0002387D" w:rsidP="0002387D">
      <w:pPr>
        <w:pStyle w:val="Heading2"/>
      </w:pPr>
      <w:r w:rsidRPr="001C7B92">
        <w:t>Cross Section Sample preparation</w:t>
      </w:r>
    </w:p>
    <w:p w:rsidR="00120295" w:rsidRPr="001C7B92" w:rsidRDefault="00D2383F" w:rsidP="005D7825">
      <w:pPr>
        <w:pStyle w:val="Text"/>
        <w:rPr>
          <w:lang w:eastAsia="x-none"/>
        </w:rPr>
      </w:pPr>
      <w:r w:rsidRPr="001C7B92">
        <w:rPr>
          <w:lang w:eastAsia="x-none"/>
        </w:rPr>
        <w:t>The locations of each cut is indicated by dotted lines in Fig. 1. The a</w:t>
      </w:r>
      <w:r w:rsidRPr="001C7B92">
        <w:rPr>
          <w:vertAlign w:val="subscript"/>
          <w:lang w:eastAsia="x-none"/>
        </w:rPr>
        <w:t>3</w:t>
      </w:r>
      <w:r w:rsidRPr="001C7B92">
        <w:rPr>
          <w:lang w:eastAsia="x-none"/>
        </w:rPr>
        <w:t xml:space="preserve"> and b</w:t>
      </w:r>
      <w:r w:rsidRPr="001C7B92">
        <w:rPr>
          <w:vertAlign w:val="subscript"/>
          <w:lang w:eastAsia="x-none"/>
        </w:rPr>
        <w:t>3</w:t>
      </w:r>
      <w:r w:rsidRPr="001C7B92">
        <w:rPr>
          <w:lang w:eastAsia="x-none"/>
        </w:rPr>
        <w:t xml:space="preserve"> harmonics are also plotted for comparison. All coils were sufficiently labeled to completely orient each segment after cutting. The labeling scheme is also presented in Fig. 1. All coils were water jet cut at BNL. </w:t>
      </w:r>
      <w:r w:rsidR="0002387D" w:rsidRPr="001C7B92">
        <w:rPr>
          <w:lang w:eastAsia="x-none"/>
        </w:rPr>
        <w:t xml:space="preserve">All data was collected using an </w:t>
      </w:r>
      <w:r w:rsidR="00AB021A" w:rsidRPr="001C7B92">
        <w:rPr>
          <w:lang w:eastAsia="x-none"/>
        </w:rPr>
        <w:t>optical c</w:t>
      </w:r>
      <w:r w:rsidR="0002387D" w:rsidRPr="001C7B92">
        <w:rPr>
          <w:lang w:eastAsia="x-none"/>
        </w:rPr>
        <w:t xml:space="preserve">omparator </w:t>
      </w:r>
      <w:r w:rsidR="00AB021A" w:rsidRPr="001C7B92">
        <w:rPr>
          <w:lang w:eastAsia="x-none"/>
        </w:rPr>
        <w:t xml:space="preserve">at FNAL </w:t>
      </w:r>
      <w:r w:rsidR="0002387D" w:rsidRPr="001C7B92">
        <w:rPr>
          <w:lang w:eastAsia="x-none"/>
        </w:rPr>
        <w:t xml:space="preserve">made by Optical Gauging Products, which can measure and store the position of points on a plane with a systematic error </w:t>
      </w:r>
      <w:r w:rsidR="00A80417" w:rsidRPr="001C7B92">
        <w:rPr>
          <w:lang w:eastAsia="x-none"/>
        </w:rPr>
        <w:t xml:space="preserve">standard deviation </w:t>
      </w:r>
      <w:r w:rsidR="0002387D" w:rsidRPr="001C7B92">
        <w:rPr>
          <w:lang w:eastAsia="x-none"/>
        </w:rPr>
        <w:t xml:space="preserve">less than three µm. </w:t>
      </w:r>
      <w:r w:rsidRPr="001C7B92">
        <w:rPr>
          <w:lang w:eastAsia="x-none"/>
        </w:rPr>
        <w:t xml:space="preserve">The </w:t>
      </w:r>
      <w:r w:rsidR="00801C1E" w:rsidRPr="001C7B92">
        <w:rPr>
          <w:lang w:eastAsia="x-none"/>
        </w:rPr>
        <w:t>flexibility</w:t>
      </w:r>
      <w:r w:rsidRPr="001C7B92">
        <w:rPr>
          <w:lang w:eastAsia="x-none"/>
        </w:rPr>
        <w:t xml:space="preserve"> of the optical comparator allowed cross sections to be </w:t>
      </w:r>
      <w:r w:rsidR="00801C1E" w:rsidRPr="001C7B92">
        <w:rPr>
          <w:lang w:eastAsia="x-none"/>
        </w:rPr>
        <w:t>analyzed without polishing or extensive surface preparation.</w:t>
      </w:r>
    </w:p>
    <w:p w:rsidR="00801C1E" w:rsidRPr="001C7B92" w:rsidRDefault="00801C1E" w:rsidP="00801C1E">
      <w:pPr>
        <w:pStyle w:val="Heading2"/>
      </w:pPr>
      <w:r w:rsidRPr="001C7B92">
        <w:t>Turn Location Measurement</w:t>
      </w:r>
    </w:p>
    <w:p w:rsidR="00801C1E" w:rsidRPr="001C7B92" w:rsidRDefault="00801C1E" w:rsidP="0002387D">
      <w:pPr>
        <w:pStyle w:val="Text"/>
        <w:rPr>
          <w:lang w:eastAsia="x-none"/>
        </w:rPr>
      </w:pPr>
      <w:r w:rsidRPr="001C7B92">
        <w:rPr>
          <w:lang w:eastAsia="x-none"/>
        </w:rPr>
        <w:t>The four corners of each turn were collected as points. A</w:t>
      </w:r>
      <w:r w:rsidR="00AB021A" w:rsidRPr="001C7B92">
        <w:rPr>
          <w:lang w:eastAsia="x-none"/>
        </w:rPr>
        <w:t xml:space="preserve"> digital</w:t>
      </w:r>
      <w:r w:rsidRPr="001C7B92">
        <w:rPr>
          <w:lang w:eastAsia="x-none"/>
        </w:rPr>
        <w:t xml:space="preserve"> protractor was used to identify each corner in the following way: first, pushing one line to be tangent to the longer edge of the cable and then without rotation, the protractor was shifted until the second line was tangent to one strand of the shorter edge. In this process, some issues were encountered due to: not perfect alignment of strands, not perfectly sharp edge of strands, increased cable thickness </w:t>
      </w:r>
      <w:r w:rsidR="000C228A" w:rsidRPr="001C7B92">
        <w:rPr>
          <w:lang w:eastAsia="x-none"/>
        </w:rPr>
        <w:t>at</w:t>
      </w:r>
      <w:r w:rsidRPr="001C7B92">
        <w:rPr>
          <w:lang w:eastAsia="x-none"/>
        </w:rPr>
        <w:t xml:space="preserve"> t</w:t>
      </w:r>
      <w:r w:rsidR="000C228A" w:rsidRPr="001C7B92">
        <w:rPr>
          <w:lang w:eastAsia="x-none"/>
        </w:rPr>
        <w:t>he second/third strand due to the Stainless Steel core,</w:t>
      </w:r>
      <w:r w:rsidRPr="001C7B92">
        <w:rPr>
          <w:lang w:eastAsia="x-none"/>
        </w:rPr>
        <w:t xml:space="preserve"> and </w:t>
      </w:r>
      <w:r w:rsidRPr="001C7B92">
        <w:rPr>
          <w:lang w:eastAsia="x-none"/>
        </w:rPr>
        <w:lastRenderedPageBreak/>
        <w:t xml:space="preserve">varying strand triplets at some turn edges. The same cross section was measured multiple times with </w:t>
      </w:r>
      <w:r w:rsidR="005E3786" w:rsidRPr="001C7B92">
        <w:rPr>
          <w:lang w:eastAsia="x-none"/>
        </w:rPr>
        <w:t>a</w:t>
      </w:r>
      <w:r w:rsidRPr="001C7B92">
        <w:rPr>
          <w:lang w:eastAsia="x-none"/>
        </w:rPr>
        <w:t xml:space="preserve"> Root-Mean-Square distance between each measurement of 12 µm.</w:t>
      </w:r>
      <w:r w:rsidR="00B40067" w:rsidRPr="001C7B92">
        <w:rPr>
          <w:lang w:eastAsia="x-none"/>
        </w:rPr>
        <w:t xml:space="preserve"> This value set the uncertainty of each measurement.</w:t>
      </w:r>
      <w:r w:rsidRPr="001C7B92">
        <w:rPr>
          <w:lang w:eastAsia="x-none"/>
        </w:rPr>
        <w:t xml:space="preserve"> An example of defining a cable edge is seen in Fig. 2.</w:t>
      </w:r>
    </w:p>
    <w:p w:rsidR="00801C1E" w:rsidRPr="001C7B92" w:rsidRDefault="005E3786" w:rsidP="00801C1E">
      <w:pPr>
        <w:pStyle w:val="Heading2"/>
      </w:pPr>
      <w:r w:rsidRPr="001C7B92">
        <w:t>Individual Cross Section Data Collection</w:t>
      </w:r>
    </w:p>
    <w:p w:rsidR="00B72072" w:rsidRPr="001C7B92" w:rsidRDefault="00801C1E" w:rsidP="0002387D">
      <w:pPr>
        <w:pStyle w:val="Text"/>
        <w:rPr>
          <w:lang w:eastAsia="x-none"/>
        </w:rPr>
      </w:pPr>
      <w:r w:rsidRPr="001C7B92">
        <w:rPr>
          <w:lang w:eastAsia="x-none"/>
        </w:rPr>
        <w:t xml:space="preserve">The first </w:t>
      </w:r>
      <w:r w:rsidR="005E3786" w:rsidRPr="001C7B92">
        <w:rPr>
          <w:lang w:eastAsia="x-none"/>
        </w:rPr>
        <w:t>attempt to define a coordinate system</w:t>
      </w:r>
      <w:r w:rsidRPr="001C7B92">
        <w:rPr>
          <w:lang w:eastAsia="x-none"/>
        </w:rPr>
        <w:t xml:space="preserve"> </w:t>
      </w:r>
      <w:r w:rsidR="00B40067" w:rsidRPr="001C7B92">
        <w:rPr>
          <w:lang w:eastAsia="x-none"/>
        </w:rPr>
        <w:t>included determining</w:t>
      </w:r>
      <w:r w:rsidRPr="001C7B92">
        <w:rPr>
          <w:lang w:eastAsia="x-none"/>
        </w:rPr>
        <w:t xml:space="preserve"> the position of each turn relative to </w:t>
      </w:r>
      <w:r w:rsidR="00B40067" w:rsidRPr="001C7B92">
        <w:rPr>
          <w:lang w:eastAsia="x-none"/>
        </w:rPr>
        <w:t>the coil outer diameter and the alignment keyway</w:t>
      </w:r>
      <w:r w:rsidRPr="001C7B92">
        <w:rPr>
          <w:lang w:eastAsia="x-none"/>
        </w:rPr>
        <w:t xml:space="preserve">. </w:t>
      </w:r>
      <w:r w:rsidR="005E3786" w:rsidRPr="001C7B92">
        <w:rPr>
          <w:lang w:eastAsia="x-none"/>
        </w:rPr>
        <w:t>Unfortunately</w:t>
      </w:r>
      <w:r w:rsidRPr="001C7B92">
        <w:rPr>
          <w:lang w:eastAsia="x-none"/>
        </w:rPr>
        <w:t xml:space="preserve">, the </w:t>
      </w:r>
      <w:r w:rsidR="005E3786" w:rsidRPr="001C7B92">
        <w:rPr>
          <w:lang w:eastAsia="x-none"/>
        </w:rPr>
        <w:t>outer coil surface proved too rough and non-repeatable to compare cross sections. To</w:t>
      </w:r>
      <w:r w:rsidR="00B72072" w:rsidRPr="001C7B92">
        <w:rPr>
          <w:lang w:eastAsia="x-none"/>
        </w:rPr>
        <w:t xml:space="preserve"> </w:t>
      </w:r>
      <w:r w:rsidR="005E3786" w:rsidRPr="001C7B92">
        <w:rPr>
          <w:lang w:eastAsia="x-none"/>
        </w:rPr>
        <w:t>remove this variability</w:t>
      </w:r>
      <w:r w:rsidR="00AB021A" w:rsidRPr="001C7B92">
        <w:rPr>
          <w:lang w:eastAsia="x-none"/>
        </w:rPr>
        <w:t>, the</w:t>
      </w:r>
      <w:r w:rsidR="005E3786" w:rsidRPr="001C7B92">
        <w:rPr>
          <w:lang w:eastAsia="x-none"/>
        </w:rPr>
        <w:t xml:space="preserve"> cloud of collected points was best fit to the nominal position of each turn. In other words the cloud of points were translated and rotated until the RMS distance between measured and nominal turn position was minimized. In this manner all cross sections were analyzed by</w:t>
      </w:r>
      <w:r w:rsidR="00AB021A" w:rsidRPr="001C7B92">
        <w:rPr>
          <w:lang w:eastAsia="x-none"/>
        </w:rPr>
        <w:t xml:space="preserve"> a</w:t>
      </w:r>
      <w:r w:rsidR="005E3786" w:rsidRPr="001C7B92">
        <w:rPr>
          <w:lang w:eastAsia="x-none"/>
        </w:rPr>
        <w:t xml:space="preserve"> repeatable and reliable </w:t>
      </w:r>
      <w:r w:rsidR="0093639A" w:rsidRPr="001C7B92">
        <w:rPr>
          <w:lang w:eastAsia="x-none"/>
        </w:rPr>
        <w:t>process</w:t>
      </w:r>
      <w:r w:rsidR="008D7351" w:rsidRPr="001C7B92">
        <w:rPr>
          <w:lang w:eastAsia="x-none"/>
        </w:rPr>
        <w:t>.</w:t>
      </w:r>
    </w:p>
    <w:p w:rsidR="00B72072" w:rsidRPr="001C7B92" w:rsidRDefault="00F261E2" w:rsidP="00120295">
      <w:pPr>
        <w:pStyle w:val="Heading2"/>
      </w:pPr>
      <w:r w:rsidRPr="001C7B92">
        <w:rPr>
          <w:noProof/>
        </w:rPr>
        <w:pict>
          <v:shapetype id="_x0000_t202" coordsize="21600,21600" o:spt="202" path="m,l,21600r21600,l21600,xe">
            <v:stroke joinstyle="miter"/>
            <v:path gradientshapeok="t" o:connecttype="rect"/>
          </v:shapetype>
          <v:shape id="_x0000_s1061" type="#_x0000_t202" style="position:absolute;left:0;text-align:left;margin-left:-.65pt;margin-top:-2.85pt;width:252pt;height:333.45pt;z-index:6;visibility:visible;mso-wrap-distance-left:9pt;mso-wrap-distance-top:0;mso-wrap-distance-right:9pt;mso-wrap-distance-bottom:9.35pt;mso-position-horizontal-relative:margin;mso-position-vertical-relative:margin;mso-width-relative:page;mso-height-relative:page;v-text-anchor:top" o:allowoverlap="f" stroked="f">
            <v:textbox style="mso-next-textbox:#_x0000_s1061" inset="0,0,0,0">
              <w:txbxContent>
                <w:p w:rsidR="007F1CD8" w:rsidRDefault="00F261E2" w:rsidP="00D57274">
                  <w:pPr>
                    <w:pStyle w:val="FootnoteText"/>
                    <w:ind w:firstLine="0"/>
                    <w:jc w:val="center"/>
                  </w:pPr>
                  <w:r>
                    <w:rPr>
                      <w:i/>
                      <w:i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42.25pt;height:174pt;visibility:visible;mso-wrap-style:square">
                        <v:imagedata r:id="rId11" o:title=""/>
                      </v:shape>
                    </w:pict>
                  </w:r>
                </w:p>
                <w:p w:rsidR="007F1CD8" w:rsidRPr="00A1717F" w:rsidRDefault="007F1CD8" w:rsidP="008D7351">
                  <w:pPr>
                    <w:pStyle w:val="FootnoteText"/>
                    <w:ind w:firstLine="0"/>
                    <w:rPr>
                      <w:lang w:val="en-US"/>
                    </w:rPr>
                  </w:pPr>
                  <w:r>
                    <w:t xml:space="preserve">Fig. </w:t>
                  </w:r>
                  <w:r>
                    <w:rPr>
                      <w:lang w:val="en-US"/>
                    </w:rPr>
                    <w:t>1</w:t>
                  </w:r>
                  <w:r>
                    <w:t>. Measured a3 and b3</w:t>
                  </w:r>
                  <w:r>
                    <w:rPr>
                      <w:lang w:val="en-US"/>
                    </w:rPr>
                    <w:t xml:space="preserve"> (hexapole)</w:t>
                  </w:r>
                  <w:r>
                    <w:t xml:space="preserve"> harmonics measured along the length </w:t>
                  </w:r>
                  <w:r>
                    <w:rPr>
                      <w:lang w:val="en-US"/>
                    </w:rPr>
                    <w:t xml:space="preserve">of HQ02 and corresponding locations where the internal coils were cut. The top right coil labeling scheme in mm completely orients each segment for cross section reassembly. </w:t>
                  </w:r>
                </w:p>
                <w:p w:rsidR="007F1CD8" w:rsidRDefault="00F261E2" w:rsidP="008D7351">
                  <w:pPr>
                    <w:pStyle w:val="FootnoteText"/>
                    <w:ind w:firstLine="0"/>
                  </w:pPr>
                  <w:r>
                    <w:pict>
                      <v:shape id="_x0000_i1026" type="#_x0000_t75" style="width:129.75pt;height:96pt">
                        <v:imagedata r:id="rId12" o:title=""/>
                      </v:shape>
                    </w:pict>
                  </w:r>
                  <w:r>
                    <w:rPr>
                      <w:i/>
                      <w:iCs/>
                      <w:noProof/>
                    </w:rPr>
                    <w:pict>
                      <v:shape id="Picture 2" o:spid="_x0000_i1027" type="#_x0000_t75" style="width:121.5pt;height:102.75pt;visibility:visible;mso-wrap-style:square">
                        <v:imagedata r:id="rId13" o:title=""/>
                      </v:shape>
                    </w:pict>
                  </w:r>
                </w:p>
                <w:p w:rsidR="007F1CD8" w:rsidRPr="00805B16" w:rsidRDefault="007F1CD8" w:rsidP="008D7351">
                  <w:pPr>
                    <w:pStyle w:val="FootnoteText"/>
                    <w:ind w:firstLine="0"/>
                    <w:rPr>
                      <w:lang w:val="en-US"/>
                    </w:rPr>
                  </w:pPr>
                  <w:r>
                    <w:t xml:space="preserve">Fig. </w:t>
                  </w:r>
                  <w:r>
                    <w:rPr>
                      <w:lang w:val="en-US"/>
                    </w:rPr>
                    <w:t xml:space="preserve">2. Defining cable edges and Azimuthal, Radial, and Rotational turn displacements. </w:t>
                  </w:r>
                </w:p>
                <w:p w:rsidR="007F1CD8" w:rsidRPr="00805B16" w:rsidRDefault="007F1CD8" w:rsidP="00120295">
                  <w:pPr>
                    <w:pStyle w:val="FootnoteText"/>
                    <w:ind w:firstLine="0"/>
                    <w:rPr>
                      <w:lang w:val="en-US"/>
                    </w:rPr>
                  </w:pPr>
                  <w:r>
                    <w:rPr>
                      <w:lang w:val="en-US"/>
                    </w:rPr>
                    <w:t xml:space="preserve"> </w:t>
                  </w:r>
                </w:p>
              </w:txbxContent>
            </v:textbox>
            <w10:wrap type="topAndBottom" anchorx="margin" anchory="margin"/>
          </v:shape>
        </w:pict>
      </w:r>
      <w:r w:rsidR="00120295" w:rsidRPr="001C7B92">
        <w:t>Reassembled Collared Cross Section Data Collection</w:t>
      </w:r>
    </w:p>
    <w:p w:rsidR="005E3786" w:rsidRPr="001C7B92" w:rsidRDefault="005E3786" w:rsidP="005E3786">
      <w:pPr>
        <w:pStyle w:val="Text"/>
        <w:rPr>
          <w:lang w:eastAsia="x-none"/>
        </w:rPr>
      </w:pPr>
      <w:r w:rsidRPr="001C7B92">
        <w:rPr>
          <w:lang w:eastAsia="x-none"/>
        </w:rPr>
        <w:t>Three full cross section have been assembled using coils HQ17, HQ16, HQ15, HQ20 from the first quadrant counterclockwise. The four coils were assembled with four collars fastened together with ¼-20 bolts and tightened to 100 in-lbs of torque, the same value as coil pack assembly. The cross sections analyzed were at z = -5, -79, -105 mm</w:t>
      </w:r>
      <w:r w:rsidR="00806EA8" w:rsidRPr="001C7B92">
        <w:rPr>
          <w:lang w:eastAsia="x-none"/>
        </w:rPr>
        <w:t xml:space="preserve"> as shown in Fig. 1</w:t>
      </w:r>
      <w:r w:rsidRPr="001C7B92">
        <w:rPr>
          <w:lang w:eastAsia="x-none"/>
        </w:rPr>
        <w:t xml:space="preserve">. </w:t>
      </w:r>
    </w:p>
    <w:p w:rsidR="00862B8F" w:rsidRPr="001C7B92" w:rsidRDefault="005E3786" w:rsidP="00862B8F">
      <w:pPr>
        <w:pStyle w:val="Text"/>
        <w:rPr>
          <w:lang w:eastAsia="x-none"/>
        </w:rPr>
      </w:pPr>
      <w:r w:rsidRPr="001C7B92">
        <w:rPr>
          <w:lang w:eastAsia="x-none"/>
        </w:rPr>
        <w:t xml:space="preserve">The rationale for collecting data from a full collared cross section is </w:t>
      </w:r>
      <w:r w:rsidR="00045453" w:rsidRPr="001C7B92">
        <w:rPr>
          <w:lang w:eastAsia="x-none"/>
        </w:rPr>
        <w:t>five</w:t>
      </w:r>
      <w:r w:rsidRPr="001C7B92">
        <w:rPr>
          <w:lang w:eastAsia="x-none"/>
        </w:rPr>
        <w:t xml:space="preserve"> fold:</w:t>
      </w:r>
    </w:p>
    <w:p w:rsidR="00862B8F" w:rsidRPr="001C7B92" w:rsidRDefault="00862B8F" w:rsidP="00862B8F">
      <w:pPr>
        <w:pStyle w:val="Text"/>
        <w:numPr>
          <w:ilvl w:val="0"/>
          <w:numId w:val="9"/>
        </w:numPr>
        <w:ind w:left="404" w:hanging="202"/>
      </w:pPr>
      <w:r w:rsidRPr="001C7B92">
        <w:rPr>
          <w:lang w:eastAsia="x-none"/>
        </w:rPr>
        <w:t>After being water jet cut, the coils tend to flair outward increasing the effective outer radius. The collars place the coils back into the original shape and outer radius</w:t>
      </w:r>
      <w:r w:rsidRPr="001C7B92">
        <w:t>;</w:t>
      </w:r>
    </w:p>
    <w:p w:rsidR="00045453" w:rsidRPr="001C7B92" w:rsidRDefault="00045453" w:rsidP="00862B8F">
      <w:pPr>
        <w:pStyle w:val="Text"/>
        <w:numPr>
          <w:ilvl w:val="0"/>
          <w:numId w:val="9"/>
        </w:numPr>
        <w:ind w:left="404" w:hanging="202"/>
      </w:pPr>
      <w:r w:rsidRPr="001C7B92">
        <w:t xml:space="preserve">By measuring actual cable positions for full cross sections all </w:t>
      </w:r>
      <w:r w:rsidR="00D67B83" w:rsidRPr="001C7B92">
        <w:t xml:space="preserve">geometric </w:t>
      </w:r>
      <w:r w:rsidRPr="001C7B92">
        <w:t xml:space="preserve">systematic </w:t>
      </w:r>
      <w:r w:rsidR="00D67B83" w:rsidRPr="001C7B92">
        <w:t>effects due to coil size, coil asymmetry, coil thickness, midplane offsets, tooling and component tolerance, etc. are accounted for.</w:t>
      </w:r>
    </w:p>
    <w:p w:rsidR="00862B8F" w:rsidRPr="001C7B92" w:rsidRDefault="00F261E2" w:rsidP="00862B8F">
      <w:pPr>
        <w:pStyle w:val="Text"/>
        <w:numPr>
          <w:ilvl w:val="0"/>
          <w:numId w:val="9"/>
        </w:numPr>
        <w:ind w:left="404" w:hanging="202"/>
      </w:pPr>
      <w:r w:rsidRPr="001C7B92">
        <w:rPr>
          <w:noProof/>
        </w:rPr>
        <w:pict>
          <v:shape id="_x0000_s1053" type="#_x0000_t202" style="position:absolute;left:0;text-align:left;margin-left:265.6pt;margin-top:-9.9pt;width:252pt;height:335.65pt;z-index:4;visibility:visible;mso-wrap-distance-left:9pt;mso-wrap-distance-top:0;mso-wrap-distance-right:9pt;mso-wrap-distance-bottom:9.35pt;mso-position-horizontal-relative:margin;mso-position-vertical-relative:margin;mso-width-relative:page;mso-height-relative:page;v-text-anchor:top" o:allowoverlap="f" stroked="f">
            <v:textbox style="mso-next-textbox:#_x0000_s1053" inset="0,0,0,0">
              <w:txbxContent>
                <w:p w:rsidR="007F1CD8" w:rsidRDefault="00F261E2" w:rsidP="000C21B6">
                  <w:pPr>
                    <w:pStyle w:val="FootnoteText"/>
                    <w:ind w:firstLine="0"/>
                    <w:jc w:val="center"/>
                    <w:rPr>
                      <w:noProof/>
                      <w:lang w:val="en-US" w:eastAsia="en-US"/>
                    </w:rPr>
                  </w:pPr>
                  <w:r>
                    <w:rPr>
                      <w:noProof/>
                    </w:rPr>
                    <w:pict>
                      <v:shape id="_x0000_i1028" type="#_x0000_t75" style="width:251.25pt;height:6.75pt;visibility:visible;mso-wrap-style:square">
                        <v:imagedata r:id="rId14" o:title=""/>
                      </v:shape>
                    </w:pict>
                  </w:r>
                </w:p>
                <w:p w:rsidR="007F1CD8" w:rsidRDefault="00F261E2" w:rsidP="000C21B6">
                  <w:pPr>
                    <w:pStyle w:val="FootnoteText"/>
                    <w:ind w:firstLine="0"/>
                    <w:jc w:val="center"/>
                  </w:pPr>
                  <w:r>
                    <w:rPr>
                      <w:noProof/>
                    </w:rPr>
                    <w:pict>
                      <v:shape id="_x0000_i1029" type="#_x0000_t75" style="width:251.25pt;height:135.75pt;visibility:visible;mso-wrap-style:square">
                        <v:imagedata r:id="rId15" o:title="" cropbottom="3823f"/>
                      </v:shape>
                    </w:pict>
                  </w:r>
                </w:p>
                <w:p w:rsidR="007F1CD8" w:rsidRDefault="007F1CD8" w:rsidP="000C21B6">
                  <w:pPr>
                    <w:pStyle w:val="FootnoteText"/>
                    <w:ind w:firstLine="0"/>
                    <w:rPr>
                      <w:lang w:val="en-US"/>
                    </w:rPr>
                  </w:pPr>
                  <w:r>
                    <w:t xml:space="preserve">Fig. </w:t>
                  </w:r>
                  <w:r>
                    <w:rPr>
                      <w:lang w:val="en-US"/>
                    </w:rPr>
                    <w:t>4a. Block cable expansion with respect to measured pre-reaction width. The 2-sigma uncertainty for each data point is 43 µm. The NT and T data points are connected for easy observation of coil asymmetries.</w:t>
                  </w:r>
                </w:p>
                <w:p w:rsidR="007F1CD8" w:rsidRDefault="007F1CD8" w:rsidP="00FF11E9">
                  <w:pPr>
                    <w:pStyle w:val="FootnoteText"/>
                    <w:ind w:firstLine="0"/>
                    <w:rPr>
                      <w:noProof/>
                      <w:lang w:val="en-US" w:eastAsia="en-US"/>
                    </w:rPr>
                  </w:pPr>
                </w:p>
                <w:p w:rsidR="007F1CD8" w:rsidRDefault="00F261E2" w:rsidP="00FF11E9">
                  <w:pPr>
                    <w:pStyle w:val="FootnoteText"/>
                    <w:ind w:firstLine="0"/>
                  </w:pPr>
                  <w:r>
                    <w:rPr>
                      <w:noProof/>
                    </w:rPr>
                    <w:pict>
                      <v:shape id="_x0000_i1030" type="#_x0000_t75" style="width:251.25pt;height:124.5pt;visibility:visible;mso-wrap-style:square">
                        <v:imagedata r:id="rId16" o:title=""/>
                      </v:shape>
                    </w:pict>
                  </w:r>
                  <w:r w:rsidR="007F1CD8" w:rsidRPr="00FF11E9">
                    <w:t xml:space="preserve"> </w:t>
                  </w:r>
                </w:p>
                <w:p w:rsidR="007F1CD8" w:rsidRPr="00805B16" w:rsidRDefault="007F1CD8" w:rsidP="00FF11E9">
                  <w:pPr>
                    <w:pStyle w:val="FootnoteText"/>
                    <w:ind w:firstLine="0"/>
                    <w:rPr>
                      <w:lang w:val="en-US"/>
                    </w:rPr>
                  </w:pPr>
                  <w:r>
                    <w:t xml:space="preserve">Fig. </w:t>
                  </w:r>
                  <w:r>
                    <w:rPr>
                      <w:lang w:val="en-US"/>
                    </w:rPr>
                    <w:t>4b. Radial turn position with respect to nominal. Layer separation and wedge location is indicated by vertical lines. Turn one for each layer is at the midplane. The two-sigma uncertainty for each data point is 55 µm.</w:t>
                  </w:r>
                </w:p>
                <w:p w:rsidR="007F1CD8" w:rsidRDefault="007F1CD8" w:rsidP="00FF11E9">
                  <w:pPr>
                    <w:pStyle w:val="FootnoteText"/>
                    <w:ind w:firstLine="0"/>
                    <w:rPr>
                      <w:noProof/>
                      <w:lang w:val="en-US" w:eastAsia="en-US"/>
                    </w:rPr>
                  </w:pPr>
                </w:p>
                <w:p w:rsidR="007F1CD8" w:rsidRPr="00805B16" w:rsidRDefault="00F261E2" w:rsidP="00FF11E9">
                  <w:pPr>
                    <w:pStyle w:val="FootnoteText"/>
                    <w:ind w:firstLine="0"/>
                    <w:rPr>
                      <w:lang w:val="en-US"/>
                    </w:rPr>
                  </w:pPr>
                  <w:r>
                    <w:rPr>
                      <w:noProof/>
                    </w:rPr>
                    <w:pict>
                      <v:shape id="_x0000_i1031" type="#_x0000_t75" style="width:251.25pt;height:97.5pt;visibility:visible;mso-wrap-style:square">
                        <v:imagedata r:id="rId17" o:title=""/>
                      </v:shape>
                    </w:pict>
                  </w:r>
                  <w:r w:rsidR="007F1CD8" w:rsidRPr="00FF11E9">
                    <w:t xml:space="preserve"> </w:t>
                  </w:r>
                  <w:r w:rsidR="007F1CD8">
                    <w:t xml:space="preserve">Fig. </w:t>
                  </w:r>
                  <w:r w:rsidR="007F1CD8">
                    <w:rPr>
                      <w:lang w:val="en-US"/>
                    </w:rPr>
                    <w:t xml:space="preserve">5c. Average azimuthal turn position with respect to nominal. A positive value indicates a displacement toward the pole. The two-sigma uncertainty for each data point is 35 µm. </w:t>
                  </w:r>
                </w:p>
                <w:p w:rsidR="007F1CD8" w:rsidRDefault="007F1CD8" w:rsidP="00FF11E9">
                  <w:pPr>
                    <w:pStyle w:val="FootnoteText"/>
                    <w:ind w:firstLine="0"/>
                    <w:rPr>
                      <w:noProof/>
                      <w:lang w:val="en-US" w:eastAsia="en-US"/>
                    </w:rPr>
                  </w:pPr>
                </w:p>
                <w:p w:rsidR="007F1CD8" w:rsidRPr="00805B16" w:rsidRDefault="00F261E2" w:rsidP="00FF11E9">
                  <w:pPr>
                    <w:pStyle w:val="FootnoteText"/>
                    <w:ind w:firstLine="0"/>
                    <w:rPr>
                      <w:lang w:val="en-US"/>
                    </w:rPr>
                  </w:pPr>
                  <w:r>
                    <w:rPr>
                      <w:noProof/>
                    </w:rPr>
                    <w:pict>
                      <v:shape id="_x0000_i1032" type="#_x0000_t75" style="width:252pt;height:94.5pt;visibility:visible;mso-wrap-style:square">
                        <v:imagedata r:id="rId18" o:title=""/>
                      </v:shape>
                    </w:pict>
                  </w:r>
                  <w:r w:rsidR="007F1CD8" w:rsidRPr="00FF11E9">
                    <w:t xml:space="preserve"> </w:t>
                  </w:r>
                  <w:r w:rsidR="007F1CD8">
                    <w:t xml:space="preserve">Fig. </w:t>
                  </w:r>
                  <w:r w:rsidR="007F1CD8">
                    <w:rPr>
                      <w:lang w:val="en-US"/>
                    </w:rPr>
                    <w:t xml:space="preserve">5d. Average turn rotation with respect to nominal. A positive value indicates a displacement of the major edge toward the pole. The two-sigma uncertainty for each data point is 29 µm. </w:t>
                  </w:r>
                </w:p>
                <w:p w:rsidR="007F1CD8" w:rsidRPr="00805B16" w:rsidRDefault="007F1CD8" w:rsidP="000C21B6">
                  <w:pPr>
                    <w:pStyle w:val="FootnoteText"/>
                    <w:ind w:firstLine="0"/>
                    <w:rPr>
                      <w:lang w:val="en-US"/>
                    </w:rPr>
                  </w:pPr>
                </w:p>
              </w:txbxContent>
            </v:textbox>
            <w10:wrap type="topAndBottom" anchorx="margin" anchory="margin"/>
          </v:shape>
        </w:pict>
      </w:r>
      <w:r w:rsidR="00862B8F" w:rsidRPr="001C7B92">
        <w:t>The relative position of each coil is captured when fully assembled;</w:t>
      </w:r>
    </w:p>
    <w:p w:rsidR="00D57274" w:rsidRPr="001C7B92" w:rsidRDefault="00862B8F" w:rsidP="00862B8F">
      <w:pPr>
        <w:pStyle w:val="Text"/>
        <w:numPr>
          <w:ilvl w:val="0"/>
          <w:numId w:val="9"/>
        </w:numPr>
        <w:ind w:left="404" w:hanging="202"/>
      </w:pPr>
      <w:r w:rsidRPr="001C7B92">
        <w:t xml:space="preserve">When using the collars, determining a coordinate system is independent of coil </w:t>
      </w:r>
      <w:r w:rsidR="00D57274" w:rsidRPr="001C7B92">
        <w:t>deformation and can be based on collar position rather than OD and keyway;</w:t>
      </w:r>
    </w:p>
    <w:p w:rsidR="00862B8F" w:rsidRPr="001C7B92" w:rsidRDefault="00F261E2" w:rsidP="00D57274">
      <w:pPr>
        <w:pStyle w:val="Text"/>
        <w:numPr>
          <w:ilvl w:val="0"/>
          <w:numId w:val="9"/>
        </w:numPr>
        <w:ind w:left="404" w:hanging="202"/>
      </w:pPr>
      <w:r w:rsidRPr="001C7B92">
        <w:rPr>
          <w:noProof/>
        </w:rPr>
        <w:pict>
          <v:shape id="_x0000_s1052" type="#_x0000_t202" style="position:absolute;left:0;text-align:left;margin-left:-.65pt;margin-top:337.3pt;width:252pt;height:147.45pt;z-index:3;visibility:visible;mso-wrap-distance-left:9pt;mso-wrap-distance-top:0;mso-wrap-distance-right:9pt;mso-wrap-distance-bottom:9.35pt;mso-position-horizontal-relative:margin;mso-position-vertical-relative:margin;mso-width-relative:page;mso-height-relative:page;v-text-anchor:top" o:allowoverlap="f" stroked="f">
            <v:textbox style="mso-next-textbox:#_x0000_s1052" inset="0,0,0,0">
              <w:txbxContent>
                <w:p w:rsidR="007F1CD8" w:rsidRDefault="00F261E2" w:rsidP="000C21B6">
                  <w:pPr>
                    <w:pStyle w:val="FootnoteText"/>
                    <w:ind w:firstLine="0"/>
                    <w:jc w:val="center"/>
                  </w:pPr>
                  <w:r>
                    <w:rPr>
                      <w:noProof/>
                    </w:rPr>
                    <w:pict>
                      <v:shape id="_x0000_i1033" type="#_x0000_t75" style="width:141.75pt;height:138pt;visibility:visible;mso-wrap-style:square">
                        <v:imagedata r:id="rId19" o:title=""/>
                      </v:shape>
                    </w:pict>
                  </w:r>
                </w:p>
                <w:p w:rsidR="007F1CD8" w:rsidRPr="00805B16" w:rsidRDefault="007F1CD8" w:rsidP="000C21B6">
                  <w:pPr>
                    <w:pStyle w:val="FootnoteText"/>
                    <w:ind w:firstLine="0"/>
                    <w:rPr>
                      <w:lang w:val="en-US"/>
                    </w:rPr>
                  </w:pPr>
                  <w:r>
                    <w:t xml:space="preserve">Fig. </w:t>
                  </w:r>
                  <w:r>
                    <w:rPr>
                      <w:lang w:val="en-US"/>
                    </w:rPr>
                    <w:t xml:space="preserve">3. Labeling scheme for HQ02 coil blocks. </w:t>
                  </w:r>
                </w:p>
              </w:txbxContent>
            </v:textbox>
            <w10:wrap type="topAndBottom" anchorx="margin" anchory="margin"/>
          </v:shape>
        </w:pict>
      </w:r>
      <w:r w:rsidR="00D57274" w:rsidRPr="001C7B92">
        <w:t xml:space="preserve">Furthermore, rigid motion of all 4 coils has minimal effect on calculated harmonics. For example, a full 1 mm translation produces less than one unit of any harmonic. </w:t>
      </w:r>
    </w:p>
    <w:p w:rsidR="00801C1E" w:rsidRPr="001C7B92" w:rsidRDefault="00A15553" w:rsidP="00AA43A2">
      <w:pPr>
        <w:pStyle w:val="Heading1"/>
      </w:pPr>
      <w:r w:rsidRPr="001C7B92">
        <w:rPr>
          <w:lang w:val="en-US"/>
        </w:rPr>
        <w:lastRenderedPageBreak/>
        <w:t>Turn Displacements</w:t>
      </w:r>
    </w:p>
    <w:p w:rsidR="00862B8F" w:rsidRPr="001C7B92" w:rsidRDefault="00862B8F" w:rsidP="0002387D">
      <w:pPr>
        <w:pStyle w:val="Text"/>
        <w:rPr>
          <w:lang w:eastAsia="x-none"/>
        </w:rPr>
      </w:pPr>
      <w:r w:rsidRPr="001C7B92">
        <w:rPr>
          <w:lang w:eastAsia="x-none"/>
        </w:rPr>
        <w:t>For each coil cross section, several data has been calculated: cable radial and azimuthal displacement with respect to the nominal cross section, cable width and expansion during heat treatment, and cable thickness</w:t>
      </w:r>
      <w:r w:rsidR="00AA43A2" w:rsidRPr="001C7B92">
        <w:rPr>
          <w:lang w:eastAsia="x-none"/>
        </w:rPr>
        <w:t xml:space="preserve"> as indicated in Fig. </w:t>
      </w:r>
      <w:r w:rsidR="0093639A" w:rsidRPr="001C7B92">
        <w:rPr>
          <w:lang w:eastAsia="x-none"/>
        </w:rPr>
        <w:t>2</w:t>
      </w:r>
      <w:r w:rsidRPr="001C7B92">
        <w:rPr>
          <w:lang w:eastAsia="x-none"/>
        </w:rPr>
        <w:t xml:space="preserve">. </w:t>
      </w:r>
      <w:r w:rsidR="00AA43A2" w:rsidRPr="001C7B92">
        <w:rPr>
          <w:lang w:eastAsia="x-none"/>
        </w:rPr>
        <w:t>Turns are divided into four blocks: the Transition/Non-Transition side and Layer 1/Layer 2</w:t>
      </w:r>
      <w:r w:rsidR="0093639A" w:rsidRPr="001C7B92">
        <w:rPr>
          <w:lang w:eastAsia="x-none"/>
        </w:rPr>
        <w:t xml:space="preserve"> as indicated in Fig. 3</w:t>
      </w:r>
      <w:r w:rsidR="00AA43A2" w:rsidRPr="001C7B92">
        <w:rPr>
          <w:lang w:eastAsia="x-none"/>
        </w:rPr>
        <w:t>. The different colors represent a different coil cross section, according to the legend.</w:t>
      </w:r>
    </w:p>
    <w:p w:rsidR="00AA43A2" w:rsidRPr="001C7B92" w:rsidRDefault="00AA43A2" w:rsidP="000C21B6">
      <w:pPr>
        <w:pStyle w:val="Heading2"/>
      </w:pPr>
      <w:r w:rsidRPr="001C7B92">
        <w:t>Cable Width</w:t>
      </w:r>
    </w:p>
    <w:p w:rsidR="007A6B4E" w:rsidRPr="001C7B92" w:rsidRDefault="009C396A" w:rsidP="007A6B4E">
      <w:pPr>
        <w:pStyle w:val="Text"/>
        <w:rPr>
          <w:lang w:eastAsia="x-none"/>
        </w:rPr>
      </w:pPr>
      <w:r w:rsidRPr="001C7B92">
        <w:rPr>
          <w:lang w:eastAsia="x-none"/>
        </w:rPr>
        <w:t>Fig. 4</w:t>
      </w:r>
      <w:r w:rsidR="00B72072" w:rsidRPr="001C7B92">
        <w:rPr>
          <w:lang w:eastAsia="x-none"/>
        </w:rPr>
        <w:t>a</w:t>
      </w:r>
      <w:r w:rsidR="000C21B6" w:rsidRPr="001C7B92">
        <w:rPr>
          <w:lang w:eastAsia="x-none"/>
        </w:rPr>
        <w:t xml:space="preserve"> clearly show</w:t>
      </w:r>
      <w:r w:rsidR="009C241F" w:rsidRPr="001C7B92">
        <w:rPr>
          <w:lang w:eastAsia="x-none"/>
        </w:rPr>
        <w:t>s</w:t>
      </w:r>
      <w:r w:rsidR="000C21B6" w:rsidRPr="001C7B92">
        <w:rPr>
          <w:lang w:eastAsia="x-none"/>
        </w:rPr>
        <w:t xml:space="preserve"> the different level of expansion between coil HQ17 and the other coils. Coil HQ17 used cable with braided-on insulation while the other coils used cable with sock type insulation. The braided on insulation constricts the cable and reduces the expansion during heat treatment [9].</w:t>
      </w:r>
    </w:p>
    <w:p w:rsidR="00862B8F" w:rsidRPr="001C7B92" w:rsidRDefault="009C241F" w:rsidP="009014AF">
      <w:pPr>
        <w:pStyle w:val="Heading2"/>
      </w:pPr>
      <w:r w:rsidRPr="001C7B92">
        <w:t>Conductor Alignment</w:t>
      </w:r>
    </w:p>
    <w:p w:rsidR="009C241F" w:rsidRPr="001C7B92" w:rsidRDefault="00F261E2" w:rsidP="0002387D">
      <w:pPr>
        <w:pStyle w:val="Text"/>
        <w:rPr>
          <w:lang w:eastAsia="x-none"/>
        </w:rPr>
      </w:pPr>
      <w:r w:rsidRPr="001C7B92">
        <w:rPr>
          <w:noProof/>
        </w:rPr>
        <w:pict>
          <v:shape id="_x0000_s1062" type="#_x0000_t202" style="position:absolute;left:0;text-align:left;margin-left:-1.05pt;margin-top:.85pt;width:252pt;height:261.9pt;z-index:7;visibility:visible;mso-wrap-distance-left:9pt;mso-wrap-distance-top:0;mso-wrap-distance-right:9pt;mso-wrap-distance-bottom:9.35pt;mso-position-horizontal-relative:margin;mso-position-vertical-relative:margin;mso-width-relative:page;mso-height-relative:page;v-text-anchor:top" o:allowoverlap="f" stroked="f">
            <v:textbox style="mso-next-textbox:#_x0000_s1062" inset="0,0,0,0">
              <w:txbxContent>
                <w:p w:rsidR="007F1CD8" w:rsidRPr="00805B16" w:rsidRDefault="00F261E2" w:rsidP="009D4D96">
                  <w:pPr>
                    <w:pStyle w:val="FootnoteText"/>
                    <w:ind w:firstLine="0"/>
                    <w:rPr>
                      <w:lang w:val="en-US"/>
                    </w:rPr>
                  </w:pPr>
                  <w:r>
                    <w:rPr>
                      <w:noProof/>
                    </w:rPr>
                    <w:pict>
                      <v:shape id="_x0000_i1034" type="#_x0000_t75" style="width:251.25pt;height:97.5pt;visibility:visible;mso-wrap-style:square">
                        <v:imagedata r:id="rId17" o:title=""/>
                      </v:shape>
                    </w:pict>
                  </w:r>
                  <w:r w:rsidR="007F1CD8" w:rsidRPr="00FF11E9">
                    <w:t xml:space="preserve"> </w:t>
                  </w:r>
                  <w:r w:rsidR="007F1CD8">
                    <w:t xml:space="preserve">Fig. </w:t>
                  </w:r>
                  <w:r w:rsidR="007F1CD8">
                    <w:rPr>
                      <w:lang w:val="en-US"/>
                    </w:rPr>
                    <w:t xml:space="preserve">5a. Average azimuthal turn position with respect to nominal. A positive value indicates a displacement toward the pole. The two-sigma uncertainty for each data point is 35 µm. </w:t>
                  </w:r>
                </w:p>
                <w:p w:rsidR="007F1CD8" w:rsidRDefault="007F1CD8" w:rsidP="009D4D96">
                  <w:pPr>
                    <w:pStyle w:val="FootnoteText"/>
                    <w:ind w:firstLine="0"/>
                    <w:rPr>
                      <w:noProof/>
                      <w:lang w:val="en-US" w:eastAsia="en-US"/>
                    </w:rPr>
                  </w:pPr>
                </w:p>
                <w:p w:rsidR="007F1CD8" w:rsidRPr="00805B16" w:rsidRDefault="00F261E2" w:rsidP="009D4D96">
                  <w:pPr>
                    <w:pStyle w:val="FootnoteText"/>
                    <w:ind w:firstLine="0"/>
                    <w:rPr>
                      <w:lang w:val="en-US"/>
                    </w:rPr>
                  </w:pPr>
                  <w:r>
                    <w:rPr>
                      <w:noProof/>
                    </w:rPr>
                    <w:pict>
                      <v:shape id="_x0000_i1035" type="#_x0000_t75" style="width:252pt;height:94.5pt;visibility:visible;mso-wrap-style:square">
                        <v:imagedata r:id="rId18" o:title=""/>
                      </v:shape>
                    </w:pict>
                  </w:r>
                  <w:r w:rsidR="007F1CD8" w:rsidRPr="00FF11E9">
                    <w:t xml:space="preserve"> </w:t>
                  </w:r>
                  <w:r w:rsidR="007F1CD8">
                    <w:t xml:space="preserve">Fig. </w:t>
                  </w:r>
                  <w:r w:rsidR="007F1CD8">
                    <w:rPr>
                      <w:lang w:val="en-US"/>
                    </w:rPr>
                    <w:t xml:space="preserve">5b. Average turn rotation with respect to nominal. A positive value indicates a displacement of the major edge toward the pole. The two-sigma uncertainty for each data point is 29 µm. </w:t>
                  </w:r>
                </w:p>
                <w:p w:rsidR="007F1CD8" w:rsidRPr="00805B16" w:rsidRDefault="007F1CD8" w:rsidP="009D4D96">
                  <w:pPr>
                    <w:pStyle w:val="FootnoteText"/>
                    <w:ind w:firstLine="0"/>
                    <w:rPr>
                      <w:lang w:val="en-US"/>
                    </w:rPr>
                  </w:pPr>
                </w:p>
              </w:txbxContent>
            </v:textbox>
            <w10:wrap type="topAndBottom" anchorx="margin" anchory="margin"/>
          </v:shape>
        </w:pict>
      </w:r>
      <w:r w:rsidR="009C241F" w:rsidRPr="001C7B92">
        <w:rPr>
          <w:lang w:eastAsia="x-none"/>
        </w:rPr>
        <w:t xml:space="preserve">Beginning with coil winding and ultimately for fully impregnated coils, all turns typically press against the outer surface of shell-type, cosine theta coils such as HQ02.  Fig. </w:t>
      </w:r>
      <w:r w:rsidR="009C396A" w:rsidRPr="001C7B92">
        <w:rPr>
          <w:lang w:eastAsia="x-none"/>
        </w:rPr>
        <w:t>4</w:t>
      </w:r>
      <w:r w:rsidR="00B72072" w:rsidRPr="001C7B92">
        <w:rPr>
          <w:lang w:eastAsia="x-none"/>
        </w:rPr>
        <w:t>b</w:t>
      </w:r>
      <w:r w:rsidR="009C241F" w:rsidRPr="001C7B92">
        <w:rPr>
          <w:lang w:eastAsia="x-none"/>
        </w:rPr>
        <w:t xml:space="preserve"> shows the average radial position of each turn with turn 1 starting at the midplane of each side. The outer, </w:t>
      </w:r>
      <w:r w:rsidR="00596AC8" w:rsidRPr="001C7B92">
        <w:rPr>
          <w:lang w:eastAsia="x-none"/>
        </w:rPr>
        <w:t>L2 coil</w:t>
      </w:r>
      <w:r w:rsidR="009C241F" w:rsidRPr="001C7B92">
        <w:rPr>
          <w:lang w:eastAsia="x-none"/>
        </w:rPr>
        <w:t xml:space="preserve"> has very little variation in radial position since it is pressing against the </w:t>
      </w:r>
      <w:r w:rsidR="00596AC8" w:rsidRPr="001C7B92">
        <w:rPr>
          <w:lang w:eastAsia="x-none"/>
        </w:rPr>
        <w:t>well-defined</w:t>
      </w:r>
      <w:r w:rsidR="009C241F" w:rsidRPr="001C7B92">
        <w:rPr>
          <w:lang w:eastAsia="x-none"/>
        </w:rPr>
        <w:t xml:space="preserve"> outer surface of the impregnation tooling. The inner L1 coil has much more variability since it is pressing against</w:t>
      </w:r>
      <w:r w:rsidR="00596AC8" w:rsidRPr="001C7B92">
        <w:rPr>
          <w:lang w:eastAsia="x-none"/>
        </w:rPr>
        <w:t xml:space="preserve"> the less-</w:t>
      </w:r>
      <w:r w:rsidR="009C241F" w:rsidRPr="001C7B92">
        <w:rPr>
          <w:lang w:eastAsia="x-none"/>
        </w:rPr>
        <w:t>defined interlayer insulation. The L1 and L2 radial standard deviation is 79 and 144 µm respectively.</w:t>
      </w:r>
    </w:p>
    <w:p w:rsidR="00862B8F" w:rsidRPr="001C7B92" w:rsidRDefault="00F261E2" w:rsidP="00B72072">
      <w:pPr>
        <w:pStyle w:val="Heading2"/>
      </w:pPr>
      <w:r w:rsidRPr="001C7B92">
        <w:rPr>
          <w:noProof/>
        </w:rPr>
        <w:pict>
          <v:shape id="_x0000_s1063" type="#_x0000_t202" style="position:absolute;left:0;text-align:left;margin-left:-1.05pt;margin-top:267.6pt;width:252pt;height:104.25pt;z-index:8;visibility:visible;mso-wrap-distance-left:9pt;mso-wrap-distance-top:0;mso-wrap-distance-right:9pt;mso-wrap-distance-bottom:9.35pt;mso-position-horizontal-relative:margin;mso-position-vertical-relative:margin;mso-width-relative:page;mso-height-relative:page;v-text-anchor:top" o:allowoverlap="f" stroked="f">
            <v:textbox style="mso-next-textbox:#_x0000_s1063" inset="0,0,0,0">
              <w:txbxContent>
                <w:p w:rsidR="007F1CD8" w:rsidRDefault="00F261E2" w:rsidP="009E1106">
                  <w:pPr>
                    <w:pStyle w:val="FootnoteText"/>
                    <w:ind w:firstLine="0"/>
                    <w:jc w:val="center"/>
                  </w:pPr>
                  <w:r>
                    <w:rPr>
                      <w:i/>
                      <w:iCs/>
                      <w:noProof/>
                    </w:rPr>
                    <w:pict>
                      <v:shape id="_x0000_i1036" type="#_x0000_t75" style="width:201pt;height:85.5pt;visibility:visible;mso-wrap-style:square">
                        <v:imagedata r:id="rId20" o:title=""/>
                      </v:shape>
                    </w:pict>
                  </w:r>
                </w:p>
                <w:p w:rsidR="007F1CD8" w:rsidRPr="00805B16" w:rsidRDefault="007F1CD8" w:rsidP="009E1106">
                  <w:pPr>
                    <w:pStyle w:val="FootnoteText"/>
                    <w:ind w:firstLine="0"/>
                    <w:rPr>
                      <w:lang w:val="en-US"/>
                    </w:rPr>
                  </w:pPr>
                  <w:r>
                    <w:t xml:space="preserve">Fig. </w:t>
                  </w:r>
                  <w:r>
                    <w:rPr>
                      <w:lang w:val="en-US"/>
                    </w:rPr>
                    <w:t xml:space="preserve">6. Demonstration of how a narrower cable sits higher on the wedge and thus takes up more azimuthal space. </w:t>
                  </w:r>
                </w:p>
              </w:txbxContent>
            </v:textbox>
            <w10:wrap type="topAndBottom" anchorx="margin" anchory="margin"/>
          </v:shape>
        </w:pict>
      </w:r>
      <w:r w:rsidR="009014AF" w:rsidRPr="001C7B92">
        <w:t>Azimuthal Position and Rotation</w:t>
      </w:r>
    </w:p>
    <w:p w:rsidR="00B72072" w:rsidRPr="001C7B92" w:rsidRDefault="00F261E2" w:rsidP="0002387D">
      <w:pPr>
        <w:pStyle w:val="Text"/>
        <w:rPr>
          <w:lang w:eastAsia="x-none"/>
        </w:rPr>
      </w:pPr>
      <w:r w:rsidRPr="001C7B92">
        <w:rPr>
          <w:noProof/>
        </w:rPr>
        <w:pict>
          <v:shape id="_x0000_s1026" type="#_x0000_t202" style="position:absolute;left:0;text-align:left;margin-left:-1.05pt;margin-top:508.35pt;width:522pt;height:187.1pt;z-index:1;mso-position-horizontal-relative:margin;mso-position-vertical-relative:margin" o:allowoverlap="f" stroked="f">
            <v:textbox style="mso-next-textbox:#_x0000_s1026" inset="0,0,0,0">
              <w:txbxContent>
                <w:p w:rsidR="007F1CD8" w:rsidRDefault="007F1CD8" w:rsidP="00141FE2">
                  <w:pPr>
                    <w:pStyle w:val="TableTitle"/>
                  </w:pPr>
                  <w:r>
                    <w:t>TABLE I</w:t>
                  </w:r>
                </w:p>
                <w:p w:rsidR="007F1CD8" w:rsidRDefault="007F1CD8" w:rsidP="00141FE2">
                  <w:pPr>
                    <w:pStyle w:val="TableTitle"/>
                  </w:pPr>
                  <w:r>
                    <w:t>Displacements and Waviness for HQ02 Coils</w:t>
                  </w:r>
                </w:p>
                <w:tbl>
                  <w:tblPr>
                    <w:tblW w:w="9948" w:type="dxa"/>
                    <w:jc w:val="center"/>
                    <w:tblLook w:val="04A0" w:firstRow="1" w:lastRow="0" w:firstColumn="1" w:lastColumn="0" w:noHBand="0" w:noVBand="1"/>
                  </w:tblPr>
                  <w:tblGrid>
                    <w:gridCol w:w="625"/>
                    <w:gridCol w:w="2160"/>
                    <w:gridCol w:w="1080"/>
                    <w:gridCol w:w="1260"/>
                    <w:gridCol w:w="1170"/>
                    <w:gridCol w:w="222"/>
                    <w:gridCol w:w="1080"/>
                    <w:gridCol w:w="1260"/>
                    <w:gridCol w:w="1091"/>
                  </w:tblGrid>
                  <w:tr w:rsidR="007F1CD8" w:rsidRPr="00AB7CBB" w:rsidTr="00FA0E95">
                    <w:trPr>
                      <w:trHeight w:val="20"/>
                      <w:jc w:val="center"/>
                    </w:trPr>
                    <w:tc>
                      <w:tcPr>
                        <w:tcW w:w="625" w:type="dxa"/>
                        <w:tcBorders>
                          <w:top w:val="double" w:sz="6" w:space="0" w:color="auto"/>
                          <w:left w:val="single" w:sz="4" w:space="0" w:color="FFFFFF"/>
                          <w:bottom w:val="single" w:sz="4" w:space="0" w:color="FFFFFF"/>
                          <w:right w:val="single" w:sz="4" w:space="0" w:color="FFFFFF"/>
                        </w:tcBorders>
                        <w:shd w:val="clear" w:color="auto" w:fill="auto"/>
                        <w:noWrap/>
                        <w:vAlign w:val="bottom"/>
                        <w:hideMark/>
                      </w:tcPr>
                      <w:p w:rsidR="007F1CD8" w:rsidRPr="00AB7CBB" w:rsidRDefault="007F1CD8" w:rsidP="00AB7CBB">
                        <w:pPr>
                          <w:rPr>
                            <w:color w:val="000000"/>
                            <w:sz w:val="16"/>
                            <w:szCs w:val="16"/>
                          </w:rPr>
                        </w:pPr>
                        <w:r w:rsidRPr="00AB7CBB">
                          <w:rPr>
                            <w:color w:val="000000"/>
                            <w:sz w:val="16"/>
                            <w:szCs w:val="16"/>
                          </w:rPr>
                          <w:t> </w:t>
                        </w:r>
                      </w:p>
                    </w:tc>
                    <w:tc>
                      <w:tcPr>
                        <w:tcW w:w="2160" w:type="dxa"/>
                        <w:tcBorders>
                          <w:top w:val="double" w:sz="6" w:space="0" w:color="auto"/>
                          <w:left w:val="nil"/>
                          <w:bottom w:val="nil"/>
                          <w:right w:val="nil"/>
                        </w:tcBorders>
                        <w:shd w:val="clear" w:color="000000" w:fill="FFFFFF"/>
                        <w:noWrap/>
                        <w:vAlign w:val="bottom"/>
                        <w:hideMark/>
                      </w:tcPr>
                      <w:p w:rsidR="007F1CD8" w:rsidRPr="00AB7CBB" w:rsidRDefault="007F1CD8" w:rsidP="00AB7CBB">
                        <w:pPr>
                          <w:rPr>
                            <w:color w:val="000000"/>
                            <w:sz w:val="16"/>
                            <w:szCs w:val="16"/>
                          </w:rPr>
                        </w:pPr>
                        <w:r w:rsidRPr="00AB7CBB">
                          <w:rPr>
                            <w:color w:val="000000"/>
                            <w:sz w:val="16"/>
                            <w:szCs w:val="16"/>
                          </w:rPr>
                          <w:t> </w:t>
                        </w:r>
                      </w:p>
                    </w:tc>
                    <w:tc>
                      <w:tcPr>
                        <w:tcW w:w="3510" w:type="dxa"/>
                        <w:gridSpan w:val="3"/>
                        <w:tcBorders>
                          <w:top w:val="double" w:sz="6" w:space="0" w:color="auto"/>
                          <w:left w:val="nil"/>
                          <w:bottom w:val="nil"/>
                          <w:right w:val="nil"/>
                        </w:tcBorders>
                        <w:shd w:val="clear" w:color="000000" w:fill="FFFFFF"/>
                        <w:noWrap/>
                        <w:vAlign w:val="bottom"/>
                        <w:hideMark/>
                      </w:tcPr>
                      <w:p w:rsidR="007F1CD8" w:rsidRPr="00AB7CBB" w:rsidRDefault="007F1CD8" w:rsidP="00AB7CBB">
                        <w:pPr>
                          <w:jc w:val="center"/>
                          <w:rPr>
                            <w:bCs/>
                            <w:color w:val="000000"/>
                            <w:sz w:val="16"/>
                            <w:szCs w:val="16"/>
                          </w:rPr>
                        </w:pPr>
                        <w:r w:rsidRPr="00AB7CBB">
                          <w:rPr>
                            <w:bCs/>
                            <w:color w:val="000000"/>
                            <w:sz w:val="16"/>
                            <w:szCs w:val="16"/>
                          </w:rPr>
                          <w:t>Braid (Coil 17)</w:t>
                        </w:r>
                      </w:p>
                    </w:tc>
                    <w:tc>
                      <w:tcPr>
                        <w:tcW w:w="222" w:type="dxa"/>
                        <w:tcBorders>
                          <w:top w:val="double" w:sz="6" w:space="0" w:color="auto"/>
                          <w:left w:val="nil"/>
                          <w:bottom w:val="nil"/>
                          <w:right w:val="nil"/>
                        </w:tcBorders>
                        <w:shd w:val="clear" w:color="000000" w:fill="FFFFFF"/>
                      </w:tcPr>
                      <w:p w:rsidR="007F1CD8" w:rsidRPr="00FA0E95" w:rsidRDefault="007F1CD8" w:rsidP="00AB7CBB">
                        <w:pPr>
                          <w:jc w:val="center"/>
                          <w:rPr>
                            <w:bCs/>
                            <w:color w:val="000000"/>
                            <w:sz w:val="16"/>
                            <w:szCs w:val="16"/>
                          </w:rPr>
                        </w:pPr>
                      </w:p>
                    </w:tc>
                    <w:tc>
                      <w:tcPr>
                        <w:tcW w:w="3431" w:type="dxa"/>
                        <w:gridSpan w:val="3"/>
                        <w:tcBorders>
                          <w:top w:val="double" w:sz="6" w:space="0" w:color="auto"/>
                          <w:left w:val="nil"/>
                          <w:bottom w:val="nil"/>
                          <w:right w:val="nil"/>
                        </w:tcBorders>
                        <w:shd w:val="clear" w:color="000000" w:fill="FFFFFF"/>
                        <w:noWrap/>
                        <w:vAlign w:val="bottom"/>
                        <w:hideMark/>
                      </w:tcPr>
                      <w:p w:rsidR="007F1CD8" w:rsidRPr="00AB7CBB" w:rsidRDefault="007F1CD8" w:rsidP="00AB7CBB">
                        <w:pPr>
                          <w:jc w:val="center"/>
                          <w:rPr>
                            <w:bCs/>
                            <w:color w:val="000000"/>
                            <w:sz w:val="16"/>
                            <w:szCs w:val="16"/>
                          </w:rPr>
                        </w:pPr>
                        <w:r w:rsidRPr="00AB7CBB">
                          <w:rPr>
                            <w:bCs/>
                            <w:color w:val="000000"/>
                            <w:sz w:val="16"/>
                            <w:szCs w:val="16"/>
                          </w:rPr>
                          <w:t>Sock (Coils 15, 16, &amp; 20)</w:t>
                        </w:r>
                      </w:p>
                    </w:tc>
                  </w:tr>
                  <w:tr w:rsidR="007F1CD8" w:rsidRPr="00AB7CBB" w:rsidTr="00FA0E95">
                    <w:trPr>
                      <w:trHeight w:val="20"/>
                      <w:jc w:val="center"/>
                    </w:trPr>
                    <w:tc>
                      <w:tcPr>
                        <w:tcW w:w="625" w:type="dxa"/>
                        <w:tcBorders>
                          <w:top w:val="nil"/>
                          <w:left w:val="nil"/>
                          <w:bottom w:val="single" w:sz="4" w:space="0" w:color="auto"/>
                          <w:right w:val="nil"/>
                        </w:tcBorders>
                        <w:shd w:val="clear" w:color="000000" w:fill="FFFFFF"/>
                        <w:noWrap/>
                        <w:vAlign w:val="bottom"/>
                        <w:hideMark/>
                      </w:tcPr>
                      <w:p w:rsidR="007F1CD8" w:rsidRPr="00AB7CBB" w:rsidRDefault="007F1CD8" w:rsidP="00AB7CBB">
                        <w:pPr>
                          <w:rPr>
                            <w:color w:val="000000"/>
                            <w:sz w:val="16"/>
                            <w:szCs w:val="16"/>
                          </w:rPr>
                        </w:pPr>
                        <w:r w:rsidRPr="00AB7CBB">
                          <w:rPr>
                            <w:color w:val="000000"/>
                            <w:sz w:val="16"/>
                            <w:szCs w:val="16"/>
                          </w:rPr>
                          <w:t> </w:t>
                        </w:r>
                      </w:p>
                    </w:tc>
                    <w:tc>
                      <w:tcPr>
                        <w:tcW w:w="2160" w:type="dxa"/>
                        <w:tcBorders>
                          <w:top w:val="nil"/>
                          <w:left w:val="nil"/>
                          <w:bottom w:val="single" w:sz="4" w:space="0" w:color="auto"/>
                          <w:right w:val="nil"/>
                        </w:tcBorders>
                        <w:shd w:val="clear" w:color="000000" w:fill="FFFFFF"/>
                        <w:noWrap/>
                        <w:vAlign w:val="bottom"/>
                        <w:hideMark/>
                      </w:tcPr>
                      <w:p w:rsidR="007F1CD8" w:rsidRPr="00AB7CBB" w:rsidRDefault="007F1CD8" w:rsidP="00AB7CBB">
                        <w:pPr>
                          <w:rPr>
                            <w:color w:val="000000"/>
                            <w:sz w:val="16"/>
                            <w:szCs w:val="16"/>
                          </w:rPr>
                        </w:pPr>
                        <w:r w:rsidRPr="00AB7CBB">
                          <w:rPr>
                            <w:color w:val="000000"/>
                            <w:sz w:val="16"/>
                            <w:szCs w:val="16"/>
                          </w:rPr>
                          <w:t> </w:t>
                        </w:r>
                      </w:p>
                    </w:tc>
                    <w:tc>
                      <w:tcPr>
                        <w:tcW w:w="1080" w:type="dxa"/>
                        <w:tcBorders>
                          <w:top w:val="nil"/>
                          <w:left w:val="nil"/>
                          <w:bottom w:val="single" w:sz="4" w:space="0" w:color="auto"/>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Radial (µm)</w:t>
                        </w:r>
                      </w:p>
                    </w:tc>
                    <w:tc>
                      <w:tcPr>
                        <w:tcW w:w="1260" w:type="dxa"/>
                        <w:tcBorders>
                          <w:top w:val="nil"/>
                          <w:left w:val="nil"/>
                          <w:bottom w:val="single" w:sz="4" w:space="0" w:color="auto"/>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Azimuthal (µm)</w:t>
                        </w:r>
                      </w:p>
                    </w:tc>
                    <w:tc>
                      <w:tcPr>
                        <w:tcW w:w="1170" w:type="dxa"/>
                        <w:tcBorders>
                          <w:top w:val="nil"/>
                          <w:left w:val="nil"/>
                          <w:bottom w:val="single" w:sz="4" w:space="0" w:color="auto"/>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Rotation (µm)</w:t>
                        </w:r>
                      </w:p>
                    </w:tc>
                    <w:tc>
                      <w:tcPr>
                        <w:tcW w:w="222" w:type="dxa"/>
                        <w:tcBorders>
                          <w:top w:val="nil"/>
                          <w:left w:val="nil"/>
                          <w:bottom w:val="single" w:sz="4" w:space="0" w:color="auto"/>
                          <w:right w:val="nil"/>
                        </w:tcBorders>
                        <w:shd w:val="clear" w:color="000000" w:fill="FFFFFF"/>
                      </w:tcPr>
                      <w:p w:rsidR="007F1CD8" w:rsidRPr="00AB7CBB" w:rsidRDefault="007F1CD8" w:rsidP="00AB7CBB">
                        <w:pPr>
                          <w:jc w:val="center"/>
                          <w:rPr>
                            <w:color w:val="000000"/>
                            <w:sz w:val="16"/>
                            <w:szCs w:val="16"/>
                          </w:rPr>
                        </w:pPr>
                      </w:p>
                    </w:tc>
                    <w:tc>
                      <w:tcPr>
                        <w:tcW w:w="1080" w:type="dxa"/>
                        <w:tcBorders>
                          <w:top w:val="nil"/>
                          <w:left w:val="nil"/>
                          <w:bottom w:val="single" w:sz="4" w:space="0" w:color="auto"/>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Radial (µm)</w:t>
                        </w:r>
                      </w:p>
                    </w:tc>
                    <w:tc>
                      <w:tcPr>
                        <w:tcW w:w="1260" w:type="dxa"/>
                        <w:tcBorders>
                          <w:top w:val="nil"/>
                          <w:left w:val="nil"/>
                          <w:bottom w:val="single" w:sz="4" w:space="0" w:color="auto"/>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Azimuthal (µm)</w:t>
                        </w:r>
                      </w:p>
                    </w:tc>
                    <w:tc>
                      <w:tcPr>
                        <w:tcW w:w="1091" w:type="dxa"/>
                        <w:tcBorders>
                          <w:top w:val="nil"/>
                          <w:left w:val="nil"/>
                          <w:bottom w:val="single" w:sz="4" w:space="0" w:color="auto"/>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Rotation(µm)</w:t>
                        </w:r>
                      </w:p>
                    </w:tc>
                  </w:tr>
                  <w:tr w:rsidR="007F1CD8" w:rsidRPr="00AB7CBB" w:rsidTr="00FA0E95">
                    <w:trPr>
                      <w:trHeight w:val="20"/>
                      <w:jc w:val="center"/>
                    </w:trPr>
                    <w:tc>
                      <w:tcPr>
                        <w:tcW w:w="625" w:type="dxa"/>
                        <w:vMerge w:val="restart"/>
                        <w:tcBorders>
                          <w:top w:val="single" w:sz="4" w:space="0" w:color="auto"/>
                          <w:left w:val="nil"/>
                          <w:bottom w:val="single" w:sz="4" w:space="0" w:color="000000"/>
                          <w:right w:val="nil"/>
                        </w:tcBorders>
                        <w:shd w:val="clear" w:color="000000" w:fill="FFFFFF"/>
                        <w:vAlign w:val="center"/>
                        <w:hideMark/>
                      </w:tcPr>
                      <w:p w:rsidR="007F1CD8" w:rsidRPr="00AB7CBB" w:rsidRDefault="007F1CD8" w:rsidP="00AB7CBB">
                        <w:pPr>
                          <w:jc w:val="center"/>
                          <w:rPr>
                            <w:b/>
                            <w:bCs/>
                            <w:color w:val="000000"/>
                            <w:sz w:val="16"/>
                            <w:szCs w:val="16"/>
                          </w:rPr>
                        </w:pPr>
                        <w:r w:rsidRPr="00AB7CBB">
                          <w:rPr>
                            <w:b/>
                            <w:bCs/>
                            <w:color w:val="000000"/>
                            <w:sz w:val="16"/>
                            <w:szCs w:val="16"/>
                          </w:rPr>
                          <w:t>Block       RMS</w:t>
                        </w:r>
                      </w:p>
                    </w:tc>
                    <w:tc>
                      <w:tcPr>
                        <w:tcW w:w="2160" w:type="dxa"/>
                        <w:tcBorders>
                          <w:top w:val="single" w:sz="4" w:space="0" w:color="auto"/>
                          <w:left w:val="nil"/>
                          <w:bottom w:val="nil"/>
                          <w:right w:val="nil"/>
                        </w:tcBorders>
                        <w:shd w:val="clear" w:color="000000" w:fill="FFFFFF"/>
                        <w:noWrap/>
                        <w:vAlign w:val="bottom"/>
                        <w:hideMark/>
                      </w:tcPr>
                      <w:p w:rsidR="007F1CD8" w:rsidRPr="00AB7CBB" w:rsidRDefault="007F1CD8" w:rsidP="00AB7CBB">
                        <w:pPr>
                          <w:jc w:val="right"/>
                          <w:rPr>
                            <w:color w:val="000000"/>
                            <w:sz w:val="16"/>
                            <w:szCs w:val="16"/>
                          </w:rPr>
                        </w:pPr>
                        <w:r w:rsidRPr="00AB7CBB">
                          <w:rPr>
                            <w:color w:val="000000"/>
                            <w:sz w:val="16"/>
                            <w:szCs w:val="16"/>
                          </w:rPr>
                          <w:t>Displacement from Nominal</w:t>
                        </w:r>
                      </w:p>
                    </w:tc>
                    <w:tc>
                      <w:tcPr>
                        <w:tcW w:w="1080" w:type="dxa"/>
                        <w:tcBorders>
                          <w:top w:val="single" w:sz="4" w:space="0" w:color="auto"/>
                          <w:left w:val="nil"/>
                          <w:bottom w:val="nil"/>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59</w:t>
                        </w:r>
                      </w:p>
                    </w:tc>
                    <w:tc>
                      <w:tcPr>
                        <w:tcW w:w="1260" w:type="dxa"/>
                        <w:tcBorders>
                          <w:top w:val="single" w:sz="4" w:space="0" w:color="auto"/>
                          <w:left w:val="nil"/>
                          <w:bottom w:val="nil"/>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125</w:t>
                        </w:r>
                      </w:p>
                    </w:tc>
                    <w:tc>
                      <w:tcPr>
                        <w:tcW w:w="1170" w:type="dxa"/>
                        <w:tcBorders>
                          <w:top w:val="single" w:sz="4" w:space="0" w:color="auto"/>
                          <w:left w:val="nil"/>
                          <w:bottom w:val="nil"/>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118</w:t>
                        </w:r>
                      </w:p>
                    </w:tc>
                    <w:tc>
                      <w:tcPr>
                        <w:tcW w:w="222" w:type="dxa"/>
                        <w:tcBorders>
                          <w:top w:val="single" w:sz="4" w:space="0" w:color="auto"/>
                          <w:left w:val="nil"/>
                          <w:bottom w:val="nil"/>
                          <w:right w:val="nil"/>
                        </w:tcBorders>
                        <w:shd w:val="clear" w:color="000000" w:fill="FFFFFF"/>
                      </w:tcPr>
                      <w:p w:rsidR="007F1CD8" w:rsidRPr="00AB7CBB" w:rsidRDefault="007F1CD8" w:rsidP="00AB7CBB">
                        <w:pPr>
                          <w:jc w:val="center"/>
                          <w:rPr>
                            <w:color w:val="000000"/>
                            <w:sz w:val="16"/>
                            <w:szCs w:val="16"/>
                          </w:rPr>
                        </w:pPr>
                      </w:p>
                    </w:tc>
                    <w:tc>
                      <w:tcPr>
                        <w:tcW w:w="1080" w:type="dxa"/>
                        <w:tcBorders>
                          <w:top w:val="single" w:sz="4" w:space="0" w:color="auto"/>
                          <w:left w:val="nil"/>
                          <w:bottom w:val="nil"/>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67</w:t>
                        </w:r>
                      </w:p>
                    </w:tc>
                    <w:tc>
                      <w:tcPr>
                        <w:tcW w:w="1260" w:type="dxa"/>
                        <w:tcBorders>
                          <w:top w:val="single" w:sz="4" w:space="0" w:color="auto"/>
                          <w:left w:val="nil"/>
                          <w:bottom w:val="nil"/>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111</w:t>
                        </w:r>
                      </w:p>
                    </w:tc>
                    <w:tc>
                      <w:tcPr>
                        <w:tcW w:w="1091" w:type="dxa"/>
                        <w:tcBorders>
                          <w:top w:val="single" w:sz="4" w:space="0" w:color="auto"/>
                          <w:left w:val="nil"/>
                          <w:bottom w:val="nil"/>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67</w:t>
                        </w:r>
                      </w:p>
                    </w:tc>
                  </w:tr>
                  <w:tr w:rsidR="007F1CD8" w:rsidRPr="00AB7CBB" w:rsidTr="00FA0E95">
                    <w:trPr>
                      <w:trHeight w:val="20"/>
                      <w:jc w:val="center"/>
                    </w:trPr>
                    <w:tc>
                      <w:tcPr>
                        <w:tcW w:w="625" w:type="dxa"/>
                        <w:vMerge/>
                        <w:tcBorders>
                          <w:top w:val="single" w:sz="4" w:space="0" w:color="FFFFFF"/>
                          <w:left w:val="nil"/>
                          <w:bottom w:val="single" w:sz="4" w:space="0" w:color="000000"/>
                          <w:right w:val="nil"/>
                        </w:tcBorders>
                        <w:vAlign w:val="center"/>
                        <w:hideMark/>
                      </w:tcPr>
                      <w:p w:rsidR="007F1CD8" w:rsidRPr="00AB7CBB" w:rsidRDefault="007F1CD8" w:rsidP="00AB7CBB">
                        <w:pPr>
                          <w:rPr>
                            <w:b/>
                            <w:bCs/>
                            <w:color w:val="000000"/>
                            <w:sz w:val="16"/>
                            <w:szCs w:val="16"/>
                          </w:rPr>
                        </w:pPr>
                      </w:p>
                    </w:tc>
                    <w:tc>
                      <w:tcPr>
                        <w:tcW w:w="2160" w:type="dxa"/>
                        <w:tcBorders>
                          <w:top w:val="nil"/>
                          <w:left w:val="nil"/>
                          <w:bottom w:val="nil"/>
                          <w:right w:val="nil"/>
                        </w:tcBorders>
                        <w:shd w:val="clear" w:color="000000" w:fill="FFFFFF"/>
                        <w:noWrap/>
                        <w:vAlign w:val="bottom"/>
                        <w:hideMark/>
                      </w:tcPr>
                      <w:p w:rsidR="007F1CD8" w:rsidRPr="00AB7CBB" w:rsidRDefault="007F1CD8" w:rsidP="00AB7CBB">
                        <w:pPr>
                          <w:jc w:val="right"/>
                          <w:rPr>
                            <w:color w:val="000000"/>
                            <w:sz w:val="16"/>
                            <w:szCs w:val="16"/>
                          </w:rPr>
                        </w:pPr>
                        <w:r w:rsidRPr="00AB7CBB">
                          <w:rPr>
                            <w:color w:val="000000"/>
                            <w:sz w:val="16"/>
                            <w:szCs w:val="16"/>
                          </w:rPr>
                          <w:t>Displacement from Average</w:t>
                        </w:r>
                      </w:p>
                    </w:tc>
                    <w:tc>
                      <w:tcPr>
                        <w:tcW w:w="1080" w:type="dxa"/>
                        <w:tcBorders>
                          <w:top w:val="nil"/>
                          <w:left w:val="nil"/>
                          <w:bottom w:val="nil"/>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46</w:t>
                        </w:r>
                      </w:p>
                    </w:tc>
                    <w:tc>
                      <w:tcPr>
                        <w:tcW w:w="1260" w:type="dxa"/>
                        <w:tcBorders>
                          <w:top w:val="nil"/>
                          <w:left w:val="nil"/>
                          <w:bottom w:val="nil"/>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36</w:t>
                        </w:r>
                      </w:p>
                    </w:tc>
                    <w:tc>
                      <w:tcPr>
                        <w:tcW w:w="1170" w:type="dxa"/>
                        <w:tcBorders>
                          <w:top w:val="nil"/>
                          <w:left w:val="nil"/>
                          <w:bottom w:val="nil"/>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84</w:t>
                        </w:r>
                      </w:p>
                    </w:tc>
                    <w:tc>
                      <w:tcPr>
                        <w:tcW w:w="222" w:type="dxa"/>
                        <w:tcBorders>
                          <w:top w:val="nil"/>
                          <w:left w:val="nil"/>
                          <w:bottom w:val="nil"/>
                          <w:right w:val="nil"/>
                        </w:tcBorders>
                        <w:shd w:val="clear" w:color="000000" w:fill="FFFFFF"/>
                      </w:tcPr>
                      <w:p w:rsidR="007F1CD8" w:rsidRPr="00AB7CBB" w:rsidRDefault="007F1CD8" w:rsidP="00AB7CBB">
                        <w:pPr>
                          <w:jc w:val="center"/>
                          <w:rPr>
                            <w:color w:val="000000"/>
                            <w:sz w:val="16"/>
                            <w:szCs w:val="16"/>
                          </w:rPr>
                        </w:pPr>
                      </w:p>
                    </w:tc>
                    <w:tc>
                      <w:tcPr>
                        <w:tcW w:w="1080" w:type="dxa"/>
                        <w:tcBorders>
                          <w:top w:val="nil"/>
                          <w:left w:val="nil"/>
                          <w:bottom w:val="nil"/>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52</w:t>
                        </w:r>
                      </w:p>
                    </w:tc>
                    <w:tc>
                      <w:tcPr>
                        <w:tcW w:w="1260" w:type="dxa"/>
                        <w:tcBorders>
                          <w:top w:val="nil"/>
                          <w:left w:val="nil"/>
                          <w:bottom w:val="nil"/>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48</w:t>
                        </w:r>
                      </w:p>
                    </w:tc>
                    <w:tc>
                      <w:tcPr>
                        <w:tcW w:w="1091" w:type="dxa"/>
                        <w:tcBorders>
                          <w:top w:val="nil"/>
                          <w:left w:val="nil"/>
                          <w:bottom w:val="nil"/>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34</w:t>
                        </w:r>
                      </w:p>
                    </w:tc>
                  </w:tr>
                  <w:tr w:rsidR="007F1CD8" w:rsidRPr="00AB7CBB" w:rsidTr="00FA0E95">
                    <w:trPr>
                      <w:trHeight w:val="20"/>
                      <w:jc w:val="center"/>
                    </w:trPr>
                    <w:tc>
                      <w:tcPr>
                        <w:tcW w:w="625" w:type="dxa"/>
                        <w:vMerge/>
                        <w:tcBorders>
                          <w:top w:val="single" w:sz="4" w:space="0" w:color="FFFFFF"/>
                          <w:left w:val="nil"/>
                          <w:bottom w:val="single" w:sz="4" w:space="0" w:color="000000"/>
                          <w:right w:val="nil"/>
                        </w:tcBorders>
                        <w:vAlign w:val="center"/>
                        <w:hideMark/>
                      </w:tcPr>
                      <w:p w:rsidR="007F1CD8" w:rsidRPr="00AB7CBB" w:rsidRDefault="007F1CD8" w:rsidP="00AB7CBB">
                        <w:pPr>
                          <w:rPr>
                            <w:b/>
                            <w:bCs/>
                            <w:color w:val="000000"/>
                            <w:sz w:val="16"/>
                            <w:szCs w:val="16"/>
                          </w:rPr>
                        </w:pPr>
                      </w:p>
                    </w:tc>
                    <w:tc>
                      <w:tcPr>
                        <w:tcW w:w="2160" w:type="dxa"/>
                        <w:tcBorders>
                          <w:top w:val="nil"/>
                          <w:left w:val="nil"/>
                          <w:bottom w:val="nil"/>
                          <w:right w:val="single" w:sz="4" w:space="0" w:color="FFFFFF"/>
                        </w:tcBorders>
                        <w:shd w:val="clear" w:color="000000" w:fill="FFFFFF"/>
                        <w:noWrap/>
                        <w:vAlign w:val="bottom"/>
                        <w:hideMark/>
                      </w:tcPr>
                      <w:p w:rsidR="007F1CD8" w:rsidRPr="00AB7CBB" w:rsidRDefault="007F1CD8" w:rsidP="00AB7CBB">
                        <w:pPr>
                          <w:jc w:val="right"/>
                          <w:rPr>
                            <w:color w:val="000000"/>
                            <w:sz w:val="16"/>
                            <w:szCs w:val="16"/>
                          </w:rPr>
                        </w:pPr>
                        <w:r w:rsidRPr="00AB7CBB">
                          <w:rPr>
                            <w:color w:val="000000"/>
                            <w:sz w:val="16"/>
                            <w:szCs w:val="16"/>
                          </w:rPr>
                          <w:t>Waviness 100 mm</w:t>
                        </w:r>
                      </w:p>
                    </w:tc>
                    <w:tc>
                      <w:tcPr>
                        <w:tcW w:w="1080" w:type="dxa"/>
                        <w:tcBorders>
                          <w:top w:val="nil"/>
                          <w:left w:val="nil"/>
                          <w:bottom w:val="nil"/>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41</w:t>
                        </w:r>
                      </w:p>
                    </w:tc>
                    <w:tc>
                      <w:tcPr>
                        <w:tcW w:w="1260" w:type="dxa"/>
                        <w:tcBorders>
                          <w:top w:val="nil"/>
                          <w:left w:val="nil"/>
                          <w:bottom w:val="nil"/>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5</w:t>
                        </w:r>
                      </w:p>
                    </w:tc>
                    <w:tc>
                      <w:tcPr>
                        <w:tcW w:w="1170" w:type="dxa"/>
                        <w:tcBorders>
                          <w:top w:val="nil"/>
                          <w:left w:val="nil"/>
                          <w:bottom w:val="nil"/>
                          <w:right w:val="single" w:sz="4" w:space="0" w:color="FFFFFF"/>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27</w:t>
                        </w:r>
                      </w:p>
                    </w:tc>
                    <w:tc>
                      <w:tcPr>
                        <w:tcW w:w="222" w:type="dxa"/>
                        <w:tcBorders>
                          <w:top w:val="nil"/>
                          <w:left w:val="nil"/>
                          <w:bottom w:val="nil"/>
                          <w:right w:val="nil"/>
                        </w:tcBorders>
                        <w:shd w:val="clear" w:color="000000" w:fill="FFFFFF"/>
                      </w:tcPr>
                      <w:p w:rsidR="007F1CD8" w:rsidRPr="00AB7CBB" w:rsidRDefault="007F1CD8" w:rsidP="00AB7CBB">
                        <w:pPr>
                          <w:jc w:val="center"/>
                          <w:rPr>
                            <w:color w:val="000000"/>
                            <w:sz w:val="16"/>
                            <w:szCs w:val="16"/>
                          </w:rPr>
                        </w:pPr>
                      </w:p>
                    </w:tc>
                    <w:tc>
                      <w:tcPr>
                        <w:tcW w:w="1080" w:type="dxa"/>
                        <w:tcBorders>
                          <w:top w:val="nil"/>
                          <w:left w:val="nil"/>
                          <w:bottom w:val="nil"/>
                          <w:right w:val="single" w:sz="4" w:space="0" w:color="FFFFFF"/>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30</w:t>
                        </w:r>
                      </w:p>
                    </w:tc>
                    <w:tc>
                      <w:tcPr>
                        <w:tcW w:w="1260" w:type="dxa"/>
                        <w:tcBorders>
                          <w:top w:val="nil"/>
                          <w:left w:val="nil"/>
                          <w:bottom w:val="nil"/>
                          <w:right w:val="single" w:sz="4" w:space="0" w:color="FFFFFF"/>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16</w:t>
                        </w:r>
                      </w:p>
                    </w:tc>
                    <w:tc>
                      <w:tcPr>
                        <w:tcW w:w="1091" w:type="dxa"/>
                        <w:tcBorders>
                          <w:top w:val="nil"/>
                          <w:left w:val="nil"/>
                          <w:bottom w:val="nil"/>
                          <w:right w:val="single" w:sz="4" w:space="0" w:color="FFFFFF"/>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16</w:t>
                        </w:r>
                      </w:p>
                    </w:tc>
                  </w:tr>
                  <w:tr w:rsidR="007F1CD8" w:rsidRPr="00AB7CBB" w:rsidTr="00FA0E95">
                    <w:trPr>
                      <w:trHeight w:val="20"/>
                      <w:jc w:val="center"/>
                    </w:trPr>
                    <w:tc>
                      <w:tcPr>
                        <w:tcW w:w="625" w:type="dxa"/>
                        <w:vMerge/>
                        <w:tcBorders>
                          <w:top w:val="single" w:sz="4" w:space="0" w:color="FFFFFF"/>
                          <w:left w:val="nil"/>
                          <w:bottom w:val="single" w:sz="4" w:space="0" w:color="000000"/>
                          <w:right w:val="nil"/>
                        </w:tcBorders>
                        <w:vAlign w:val="center"/>
                        <w:hideMark/>
                      </w:tcPr>
                      <w:p w:rsidR="007F1CD8" w:rsidRPr="00AB7CBB" w:rsidRDefault="007F1CD8" w:rsidP="00AB7CBB">
                        <w:pPr>
                          <w:rPr>
                            <w:b/>
                            <w:bCs/>
                            <w:color w:val="000000"/>
                            <w:sz w:val="16"/>
                            <w:szCs w:val="16"/>
                          </w:rPr>
                        </w:pPr>
                      </w:p>
                    </w:tc>
                    <w:tc>
                      <w:tcPr>
                        <w:tcW w:w="2160" w:type="dxa"/>
                        <w:tcBorders>
                          <w:top w:val="nil"/>
                          <w:left w:val="nil"/>
                          <w:bottom w:val="single" w:sz="4" w:space="0" w:color="auto"/>
                          <w:right w:val="nil"/>
                        </w:tcBorders>
                        <w:shd w:val="clear" w:color="000000" w:fill="FFFFFF"/>
                        <w:noWrap/>
                        <w:vAlign w:val="bottom"/>
                        <w:hideMark/>
                      </w:tcPr>
                      <w:p w:rsidR="007F1CD8" w:rsidRPr="00AB7CBB" w:rsidRDefault="007F1CD8" w:rsidP="00AB7CBB">
                        <w:pPr>
                          <w:jc w:val="right"/>
                          <w:rPr>
                            <w:color w:val="000000"/>
                            <w:sz w:val="16"/>
                            <w:szCs w:val="16"/>
                          </w:rPr>
                        </w:pPr>
                        <w:r w:rsidRPr="00AB7CBB">
                          <w:rPr>
                            <w:color w:val="000000"/>
                            <w:sz w:val="16"/>
                            <w:szCs w:val="16"/>
                          </w:rPr>
                          <w:t>Waviness 200 mm</w:t>
                        </w:r>
                      </w:p>
                    </w:tc>
                    <w:tc>
                      <w:tcPr>
                        <w:tcW w:w="1080" w:type="dxa"/>
                        <w:tcBorders>
                          <w:top w:val="nil"/>
                          <w:left w:val="nil"/>
                          <w:bottom w:val="single" w:sz="4" w:space="0" w:color="auto"/>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66</w:t>
                        </w:r>
                      </w:p>
                    </w:tc>
                    <w:tc>
                      <w:tcPr>
                        <w:tcW w:w="1260" w:type="dxa"/>
                        <w:tcBorders>
                          <w:top w:val="nil"/>
                          <w:left w:val="nil"/>
                          <w:bottom w:val="single" w:sz="4" w:space="0" w:color="auto"/>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4</w:t>
                        </w:r>
                      </w:p>
                    </w:tc>
                    <w:tc>
                      <w:tcPr>
                        <w:tcW w:w="1170" w:type="dxa"/>
                        <w:tcBorders>
                          <w:top w:val="nil"/>
                          <w:left w:val="nil"/>
                          <w:bottom w:val="single" w:sz="4" w:space="0" w:color="auto"/>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40</w:t>
                        </w:r>
                      </w:p>
                    </w:tc>
                    <w:tc>
                      <w:tcPr>
                        <w:tcW w:w="222" w:type="dxa"/>
                        <w:tcBorders>
                          <w:top w:val="nil"/>
                          <w:left w:val="nil"/>
                          <w:bottom w:val="single" w:sz="4" w:space="0" w:color="auto"/>
                          <w:right w:val="nil"/>
                        </w:tcBorders>
                        <w:shd w:val="clear" w:color="000000" w:fill="FFFFFF"/>
                      </w:tcPr>
                      <w:p w:rsidR="007F1CD8" w:rsidRPr="00AB7CBB" w:rsidRDefault="007F1CD8" w:rsidP="00AB7CBB">
                        <w:pPr>
                          <w:jc w:val="center"/>
                          <w:rPr>
                            <w:color w:val="000000"/>
                            <w:sz w:val="16"/>
                            <w:szCs w:val="16"/>
                          </w:rPr>
                        </w:pPr>
                      </w:p>
                    </w:tc>
                    <w:tc>
                      <w:tcPr>
                        <w:tcW w:w="1080" w:type="dxa"/>
                        <w:tcBorders>
                          <w:top w:val="nil"/>
                          <w:left w:val="nil"/>
                          <w:bottom w:val="single" w:sz="4" w:space="0" w:color="auto"/>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68</w:t>
                        </w:r>
                      </w:p>
                    </w:tc>
                    <w:tc>
                      <w:tcPr>
                        <w:tcW w:w="1260" w:type="dxa"/>
                        <w:tcBorders>
                          <w:top w:val="nil"/>
                          <w:left w:val="nil"/>
                          <w:bottom w:val="single" w:sz="4" w:space="0" w:color="auto"/>
                          <w:right w:val="single" w:sz="4" w:space="0" w:color="FFFFFF"/>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42</w:t>
                        </w:r>
                      </w:p>
                    </w:tc>
                    <w:tc>
                      <w:tcPr>
                        <w:tcW w:w="1091" w:type="dxa"/>
                        <w:tcBorders>
                          <w:top w:val="nil"/>
                          <w:left w:val="nil"/>
                          <w:bottom w:val="single" w:sz="4" w:space="0" w:color="auto"/>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29</w:t>
                        </w:r>
                      </w:p>
                    </w:tc>
                  </w:tr>
                  <w:tr w:rsidR="007F1CD8" w:rsidRPr="00AB7CBB" w:rsidTr="00FA0E95">
                    <w:trPr>
                      <w:trHeight w:val="20"/>
                      <w:jc w:val="center"/>
                    </w:trPr>
                    <w:tc>
                      <w:tcPr>
                        <w:tcW w:w="625" w:type="dxa"/>
                        <w:vMerge w:val="restart"/>
                        <w:tcBorders>
                          <w:top w:val="nil"/>
                          <w:left w:val="nil"/>
                          <w:bottom w:val="single" w:sz="4" w:space="0" w:color="000000"/>
                          <w:right w:val="nil"/>
                        </w:tcBorders>
                        <w:shd w:val="clear" w:color="000000" w:fill="FFFFFF"/>
                        <w:vAlign w:val="center"/>
                        <w:hideMark/>
                      </w:tcPr>
                      <w:p w:rsidR="007F1CD8" w:rsidRPr="00AB7CBB" w:rsidRDefault="007F1CD8" w:rsidP="00AB7CBB">
                        <w:pPr>
                          <w:jc w:val="center"/>
                          <w:rPr>
                            <w:b/>
                            <w:bCs/>
                            <w:color w:val="000000"/>
                            <w:sz w:val="16"/>
                            <w:szCs w:val="16"/>
                          </w:rPr>
                        </w:pPr>
                        <w:r w:rsidRPr="00AB7CBB">
                          <w:rPr>
                            <w:b/>
                            <w:bCs/>
                            <w:color w:val="000000"/>
                            <w:sz w:val="16"/>
                            <w:szCs w:val="16"/>
                          </w:rPr>
                          <w:t>Turn          RMS</w:t>
                        </w:r>
                      </w:p>
                    </w:tc>
                    <w:tc>
                      <w:tcPr>
                        <w:tcW w:w="2160" w:type="dxa"/>
                        <w:tcBorders>
                          <w:top w:val="nil"/>
                          <w:left w:val="nil"/>
                          <w:bottom w:val="nil"/>
                          <w:right w:val="nil"/>
                        </w:tcBorders>
                        <w:shd w:val="clear" w:color="000000" w:fill="FFFFFF"/>
                        <w:noWrap/>
                        <w:vAlign w:val="bottom"/>
                        <w:hideMark/>
                      </w:tcPr>
                      <w:p w:rsidR="007F1CD8" w:rsidRPr="00AB7CBB" w:rsidRDefault="007F1CD8" w:rsidP="00AB7CBB">
                        <w:pPr>
                          <w:jc w:val="right"/>
                          <w:rPr>
                            <w:color w:val="000000"/>
                            <w:sz w:val="16"/>
                            <w:szCs w:val="16"/>
                          </w:rPr>
                        </w:pPr>
                        <w:r w:rsidRPr="00AB7CBB">
                          <w:rPr>
                            <w:color w:val="000000"/>
                            <w:sz w:val="16"/>
                            <w:szCs w:val="16"/>
                          </w:rPr>
                          <w:t>Displacement from Nominal</w:t>
                        </w:r>
                      </w:p>
                    </w:tc>
                    <w:tc>
                      <w:tcPr>
                        <w:tcW w:w="1080" w:type="dxa"/>
                        <w:tcBorders>
                          <w:top w:val="nil"/>
                          <w:left w:val="nil"/>
                          <w:bottom w:val="nil"/>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156</w:t>
                        </w:r>
                      </w:p>
                    </w:tc>
                    <w:tc>
                      <w:tcPr>
                        <w:tcW w:w="1260" w:type="dxa"/>
                        <w:tcBorders>
                          <w:top w:val="nil"/>
                          <w:left w:val="nil"/>
                          <w:bottom w:val="nil"/>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138</w:t>
                        </w:r>
                      </w:p>
                    </w:tc>
                    <w:tc>
                      <w:tcPr>
                        <w:tcW w:w="1170" w:type="dxa"/>
                        <w:tcBorders>
                          <w:top w:val="nil"/>
                          <w:left w:val="nil"/>
                          <w:bottom w:val="nil"/>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131</w:t>
                        </w:r>
                      </w:p>
                    </w:tc>
                    <w:tc>
                      <w:tcPr>
                        <w:tcW w:w="222" w:type="dxa"/>
                        <w:tcBorders>
                          <w:top w:val="nil"/>
                          <w:left w:val="nil"/>
                          <w:bottom w:val="nil"/>
                          <w:right w:val="nil"/>
                        </w:tcBorders>
                        <w:shd w:val="clear" w:color="000000" w:fill="FFFFFF"/>
                      </w:tcPr>
                      <w:p w:rsidR="007F1CD8" w:rsidRPr="00AB7CBB" w:rsidRDefault="007F1CD8" w:rsidP="00AB7CBB">
                        <w:pPr>
                          <w:jc w:val="center"/>
                          <w:rPr>
                            <w:color w:val="000000"/>
                            <w:sz w:val="16"/>
                            <w:szCs w:val="16"/>
                          </w:rPr>
                        </w:pPr>
                      </w:p>
                    </w:tc>
                    <w:tc>
                      <w:tcPr>
                        <w:tcW w:w="1080" w:type="dxa"/>
                        <w:tcBorders>
                          <w:top w:val="nil"/>
                          <w:left w:val="nil"/>
                          <w:bottom w:val="nil"/>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127</w:t>
                        </w:r>
                      </w:p>
                    </w:tc>
                    <w:tc>
                      <w:tcPr>
                        <w:tcW w:w="1260" w:type="dxa"/>
                        <w:tcBorders>
                          <w:top w:val="nil"/>
                          <w:left w:val="nil"/>
                          <w:bottom w:val="nil"/>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114</w:t>
                        </w:r>
                      </w:p>
                    </w:tc>
                    <w:tc>
                      <w:tcPr>
                        <w:tcW w:w="1091" w:type="dxa"/>
                        <w:tcBorders>
                          <w:top w:val="nil"/>
                          <w:left w:val="nil"/>
                          <w:bottom w:val="nil"/>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80</w:t>
                        </w:r>
                      </w:p>
                    </w:tc>
                  </w:tr>
                  <w:tr w:rsidR="007F1CD8" w:rsidRPr="00AB7CBB" w:rsidTr="00FA0E95">
                    <w:trPr>
                      <w:trHeight w:val="20"/>
                      <w:jc w:val="center"/>
                    </w:trPr>
                    <w:tc>
                      <w:tcPr>
                        <w:tcW w:w="625" w:type="dxa"/>
                        <w:vMerge/>
                        <w:tcBorders>
                          <w:top w:val="nil"/>
                          <w:left w:val="nil"/>
                          <w:bottom w:val="single" w:sz="4" w:space="0" w:color="000000"/>
                          <w:right w:val="nil"/>
                        </w:tcBorders>
                        <w:vAlign w:val="center"/>
                        <w:hideMark/>
                      </w:tcPr>
                      <w:p w:rsidR="007F1CD8" w:rsidRPr="00AB7CBB" w:rsidRDefault="007F1CD8" w:rsidP="00AB7CBB">
                        <w:pPr>
                          <w:rPr>
                            <w:b/>
                            <w:bCs/>
                            <w:color w:val="000000"/>
                            <w:sz w:val="16"/>
                            <w:szCs w:val="16"/>
                          </w:rPr>
                        </w:pPr>
                      </w:p>
                    </w:tc>
                    <w:tc>
                      <w:tcPr>
                        <w:tcW w:w="2160" w:type="dxa"/>
                        <w:tcBorders>
                          <w:top w:val="nil"/>
                          <w:left w:val="nil"/>
                          <w:bottom w:val="nil"/>
                          <w:right w:val="nil"/>
                        </w:tcBorders>
                        <w:shd w:val="clear" w:color="000000" w:fill="FFFFFF"/>
                        <w:noWrap/>
                        <w:vAlign w:val="bottom"/>
                        <w:hideMark/>
                      </w:tcPr>
                      <w:p w:rsidR="007F1CD8" w:rsidRPr="00AB7CBB" w:rsidRDefault="007F1CD8" w:rsidP="00AB7CBB">
                        <w:pPr>
                          <w:jc w:val="right"/>
                          <w:rPr>
                            <w:color w:val="000000"/>
                            <w:sz w:val="16"/>
                            <w:szCs w:val="16"/>
                          </w:rPr>
                        </w:pPr>
                        <w:r w:rsidRPr="00AB7CBB">
                          <w:rPr>
                            <w:color w:val="000000"/>
                            <w:sz w:val="16"/>
                            <w:szCs w:val="16"/>
                          </w:rPr>
                          <w:t>Displacement from Average</w:t>
                        </w:r>
                      </w:p>
                    </w:tc>
                    <w:tc>
                      <w:tcPr>
                        <w:tcW w:w="1080" w:type="dxa"/>
                        <w:tcBorders>
                          <w:top w:val="nil"/>
                          <w:left w:val="nil"/>
                          <w:bottom w:val="single" w:sz="4" w:space="0" w:color="FFFFFF"/>
                          <w:right w:val="single" w:sz="4" w:space="0" w:color="FFFFFF"/>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116</w:t>
                        </w:r>
                      </w:p>
                    </w:tc>
                    <w:tc>
                      <w:tcPr>
                        <w:tcW w:w="1260" w:type="dxa"/>
                        <w:tcBorders>
                          <w:top w:val="nil"/>
                          <w:left w:val="nil"/>
                          <w:bottom w:val="nil"/>
                          <w:right w:val="single" w:sz="4" w:space="0" w:color="FFFFFF"/>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46</w:t>
                        </w:r>
                      </w:p>
                    </w:tc>
                    <w:tc>
                      <w:tcPr>
                        <w:tcW w:w="1170" w:type="dxa"/>
                        <w:tcBorders>
                          <w:top w:val="nil"/>
                          <w:left w:val="nil"/>
                          <w:bottom w:val="nil"/>
                          <w:right w:val="single" w:sz="4" w:space="0" w:color="FFFFFF"/>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96</w:t>
                        </w:r>
                      </w:p>
                    </w:tc>
                    <w:tc>
                      <w:tcPr>
                        <w:tcW w:w="222" w:type="dxa"/>
                        <w:tcBorders>
                          <w:top w:val="nil"/>
                          <w:left w:val="nil"/>
                          <w:bottom w:val="nil"/>
                          <w:right w:val="nil"/>
                        </w:tcBorders>
                        <w:shd w:val="clear" w:color="000000" w:fill="FFFFFF"/>
                      </w:tcPr>
                      <w:p w:rsidR="007F1CD8" w:rsidRPr="00AB7CBB" w:rsidRDefault="007F1CD8" w:rsidP="00AB7CBB">
                        <w:pPr>
                          <w:jc w:val="center"/>
                          <w:rPr>
                            <w:color w:val="000000"/>
                            <w:sz w:val="16"/>
                            <w:szCs w:val="16"/>
                          </w:rPr>
                        </w:pPr>
                      </w:p>
                    </w:tc>
                    <w:tc>
                      <w:tcPr>
                        <w:tcW w:w="1080" w:type="dxa"/>
                        <w:tcBorders>
                          <w:top w:val="nil"/>
                          <w:left w:val="nil"/>
                          <w:bottom w:val="nil"/>
                          <w:right w:val="single" w:sz="4" w:space="0" w:color="FFFFFF"/>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107</w:t>
                        </w:r>
                      </w:p>
                    </w:tc>
                    <w:tc>
                      <w:tcPr>
                        <w:tcW w:w="1260" w:type="dxa"/>
                        <w:tcBorders>
                          <w:top w:val="nil"/>
                          <w:left w:val="nil"/>
                          <w:bottom w:val="nil"/>
                          <w:right w:val="single" w:sz="4" w:space="0" w:color="FFFFFF"/>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49</w:t>
                        </w:r>
                      </w:p>
                    </w:tc>
                    <w:tc>
                      <w:tcPr>
                        <w:tcW w:w="1091" w:type="dxa"/>
                        <w:tcBorders>
                          <w:top w:val="nil"/>
                          <w:left w:val="nil"/>
                          <w:bottom w:val="nil"/>
                          <w:right w:val="single" w:sz="4" w:space="0" w:color="FFFFFF"/>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42</w:t>
                        </w:r>
                      </w:p>
                    </w:tc>
                  </w:tr>
                  <w:tr w:rsidR="007F1CD8" w:rsidRPr="00AB7CBB" w:rsidTr="00FA0E95">
                    <w:trPr>
                      <w:trHeight w:val="20"/>
                      <w:jc w:val="center"/>
                    </w:trPr>
                    <w:tc>
                      <w:tcPr>
                        <w:tcW w:w="625" w:type="dxa"/>
                        <w:vMerge/>
                        <w:tcBorders>
                          <w:top w:val="nil"/>
                          <w:left w:val="nil"/>
                          <w:bottom w:val="single" w:sz="4" w:space="0" w:color="000000"/>
                          <w:right w:val="nil"/>
                        </w:tcBorders>
                        <w:vAlign w:val="center"/>
                        <w:hideMark/>
                      </w:tcPr>
                      <w:p w:rsidR="007F1CD8" w:rsidRPr="00AB7CBB" w:rsidRDefault="007F1CD8" w:rsidP="00AB7CBB">
                        <w:pPr>
                          <w:rPr>
                            <w:b/>
                            <w:bCs/>
                            <w:color w:val="000000"/>
                            <w:sz w:val="16"/>
                            <w:szCs w:val="16"/>
                          </w:rPr>
                        </w:pPr>
                      </w:p>
                    </w:tc>
                    <w:tc>
                      <w:tcPr>
                        <w:tcW w:w="2160" w:type="dxa"/>
                        <w:tcBorders>
                          <w:top w:val="nil"/>
                          <w:left w:val="nil"/>
                          <w:bottom w:val="nil"/>
                          <w:right w:val="nil"/>
                        </w:tcBorders>
                        <w:shd w:val="clear" w:color="000000" w:fill="FFFFFF"/>
                        <w:noWrap/>
                        <w:vAlign w:val="bottom"/>
                        <w:hideMark/>
                      </w:tcPr>
                      <w:p w:rsidR="007F1CD8" w:rsidRPr="00AB7CBB" w:rsidRDefault="007F1CD8" w:rsidP="00AB7CBB">
                        <w:pPr>
                          <w:jc w:val="right"/>
                          <w:rPr>
                            <w:color w:val="000000"/>
                            <w:sz w:val="16"/>
                            <w:szCs w:val="16"/>
                          </w:rPr>
                        </w:pPr>
                        <w:r w:rsidRPr="00AB7CBB">
                          <w:rPr>
                            <w:color w:val="000000"/>
                            <w:sz w:val="16"/>
                            <w:szCs w:val="16"/>
                          </w:rPr>
                          <w:t>Waviness 100 mm</w:t>
                        </w:r>
                      </w:p>
                    </w:tc>
                    <w:tc>
                      <w:tcPr>
                        <w:tcW w:w="1080" w:type="dxa"/>
                        <w:tcBorders>
                          <w:top w:val="nil"/>
                          <w:left w:val="nil"/>
                          <w:bottom w:val="nil"/>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90</w:t>
                        </w:r>
                      </w:p>
                    </w:tc>
                    <w:tc>
                      <w:tcPr>
                        <w:tcW w:w="1260" w:type="dxa"/>
                        <w:tcBorders>
                          <w:top w:val="nil"/>
                          <w:left w:val="nil"/>
                          <w:bottom w:val="nil"/>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11</w:t>
                        </w:r>
                      </w:p>
                    </w:tc>
                    <w:tc>
                      <w:tcPr>
                        <w:tcW w:w="1170" w:type="dxa"/>
                        <w:tcBorders>
                          <w:top w:val="nil"/>
                          <w:left w:val="nil"/>
                          <w:bottom w:val="nil"/>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29</w:t>
                        </w:r>
                      </w:p>
                    </w:tc>
                    <w:tc>
                      <w:tcPr>
                        <w:tcW w:w="222" w:type="dxa"/>
                        <w:tcBorders>
                          <w:top w:val="nil"/>
                          <w:left w:val="nil"/>
                          <w:bottom w:val="nil"/>
                          <w:right w:val="nil"/>
                        </w:tcBorders>
                        <w:shd w:val="clear" w:color="000000" w:fill="FFFFFF"/>
                      </w:tcPr>
                      <w:p w:rsidR="007F1CD8" w:rsidRPr="00AB7CBB" w:rsidRDefault="007F1CD8" w:rsidP="00AB7CBB">
                        <w:pPr>
                          <w:jc w:val="center"/>
                          <w:rPr>
                            <w:color w:val="000000"/>
                            <w:sz w:val="16"/>
                            <w:szCs w:val="16"/>
                          </w:rPr>
                        </w:pPr>
                      </w:p>
                    </w:tc>
                    <w:tc>
                      <w:tcPr>
                        <w:tcW w:w="1080" w:type="dxa"/>
                        <w:tcBorders>
                          <w:top w:val="nil"/>
                          <w:left w:val="nil"/>
                          <w:bottom w:val="nil"/>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92</w:t>
                        </w:r>
                      </w:p>
                    </w:tc>
                    <w:tc>
                      <w:tcPr>
                        <w:tcW w:w="1260" w:type="dxa"/>
                        <w:tcBorders>
                          <w:top w:val="nil"/>
                          <w:left w:val="nil"/>
                          <w:bottom w:val="nil"/>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20</w:t>
                        </w:r>
                      </w:p>
                    </w:tc>
                    <w:tc>
                      <w:tcPr>
                        <w:tcW w:w="1091" w:type="dxa"/>
                        <w:tcBorders>
                          <w:top w:val="nil"/>
                          <w:left w:val="nil"/>
                          <w:bottom w:val="nil"/>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16</w:t>
                        </w:r>
                      </w:p>
                    </w:tc>
                  </w:tr>
                  <w:tr w:rsidR="007F1CD8" w:rsidRPr="00AB7CBB" w:rsidTr="00FA0E95">
                    <w:trPr>
                      <w:trHeight w:val="20"/>
                      <w:jc w:val="center"/>
                    </w:trPr>
                    <w:tc>
                      <w:tcPr>
                        <w:tcW w:w="625" w:type="dxa"/>
                        <w:vMerge/>
                        <w:tcBorders>
                          <w:top w:val="nil"/>
                          <w:left w:val="nil"/>
                          <w:bottom w:val="single" w:sz="4" w:space="0" w:color="000000"/>
                          <w:right w:val="nil"/>
                        </w:tcBorders>
                        <w:vAlign w:val="center"/>
                        <w:hideMark/>
                      </w:tcPr>
                      <w:p w:rsidR="007F1CD8" w:rsidRPr="00AB7CBB" w:rsidRDefault="007F1CD8" w:rsidP="00AB7CBB">
                        <w:pPr>
                          <w:rPr>
                            <w:b/>
                            <w:bCs/>
                            <w:color w:val="000000"/>
                            <w:sz w:val="16"/>
                            <w:szCs w:val="16"/>
                          </w:rPr>
                        </w:pPr>
                      </w:p>
                    </w:tc>
                    <w:tc>
                      <w:tcPr>
                        <w:tcW w:w="2160" w:type="dxa"/>
                        <w:tcBorders>
                          <w:top w:val="nil"/>
                          <w:left w:val="nil"/>
                          <w:bottom w:val="single" w:sz="4" w:space="0" w:color="auto"/>
                          <w:right w:val="nil"/>
                        </w:tcBorders>
                        <w:shd w:val="clear" w:color="000000" w:fill="FFFFFF"/>
                        <w:noWrap/>
                        <w:vAlign w:val="bottom"/>
                        <w:hideMark/>
                      </w:tcPr>
                      <w:p w:rsidR="007F1CD8" w:rsidRPr="00AB7CBB" w:rsidRDefault="007F1CD8" w:rsidP="00AB7CBB">
                        <w:pPr>
                          <w:jc w:val="right"/>
                          <w:rPr>
                            <w:color w:val="000000"/>
                            <w:sz w:val="16"/>
                            <w:szCs w:val="16"/>
                          </w:rPr>
                        </w:pPr>
                        <w:r w:rsidRPr="00AB7CBB">
                          <w:rPr>
                            <w:color w:val="000000"/>
                            <w:sz w:val="16"/>
                            <w:szCs w:val="16"/>
                          </w:rPr>
                          <w:t>Waviness 200 mm</w:t>
                        </w:r>
                      </w:p>
                    </w:tc>
                    <w:tc>
                      <w:tcPr>
                        <w:tcW w:w="1080" w:type="dxa"/>
                        <w:tcBorders>
                          <w:top w:val="nil"/>
                          <w:left w:val="nil"/>
                          <w:bottom w:val="single" w:sz="4" w:space="0" w:color="auto"/>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124</w:t>
                        </w:r>
                      </w:p>
                    </w:tc>
                    <w:tc>
                      <w:tcPr>
                        <w:tcW w:w="1260" w:type="dxa"/>
                        <w:tcBorders>
                          <w:top w:val="nil"/>
                          <w:left w:val="nil"/>
                          <w:bottom w:val="single" w:sz="4" w:space="0" w:color="auto"/>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8</w:t>
                        </w:r>
                      </w:p>
                    </w:tc>
                    <w:tc>
                      <w:tcPr>
                        <w:tcW w:w="1170" w:type="dxa"/>
                        <w:tcBorders>
                          <w:top w:val="nil"/>
                          <w:left w:val="nil"/>
                          <w:bottom w:val="single" w:sz="4" w:space="0" w:color="auto"/>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46</w:t>
                        </w:r>
                      </w:p>
                    </w:tc>
                    <w:tc>
                      <w:tcPr>
                        <w:tcW w:w="222" w:type="dxa"/>
                        <w:tcBorders>
                          <w:top w:val="nil"/>
                          <w:left w:val="nil"/>
                          <w:bottom w:val="single" w:sz="4" w:space="0" w:color="auto"/>
                          <w:right w:val="nil"/>
                        </w:tcBorders>
                        <w:shd w:val="clear" w:color="000000" w:fill="FFFFFF"/>
                      </w:tcPr>
                      <w:p w:rsidR="007F1CD8" w:rsidRPr="00AB7CBB" w:rsidRDefault="007F1CD8" w:rsidP="00AB7CBB">
                        <w:pPr>
                          <w:jc w:val="center"/>
                          <w:rPr>
                            <w:color w:val="000000"/>
                            <w:sz w:val="16"/>
                            <w:szCs w:val="16"/>
                          </w:rPr>
                        </w:pPr>
                      </w:p>
                    </w:tc>
                    <w:tc>
                      <w:tcPr>
                        <w:tcW w:w="1080" w:type="dxa"/>
                        <w:tcBorders>
                          <w:top w:val="nil"/>
                          <w:left w:val="nil"/>
                          <w:bottom w:val="single" w:sz="4" w:space="0" w:color="auto"/>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110</w:t>
                        </w:r>
                      </w:p>
                    </w:tc>
                    <w:tc>
                      <w:tcPr>
                        <w:tcW w:w="1260" w:type="dxa"/>
                        <w:tcBorders>
                          <w:top w:val="nil"/>
                          <w:left w:val="nil"/>
                          <w:bottom w:val="single" w:sz="4" w:space="0" w:color="auto"/>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47</w:t>
                        </w:r>
                      </w:p>
                    </w:tc>
                    <w:tc>
                      <w:tcPr>
                        <w:tcW w:w="1091" w:type="dxa"/>
                        <w:tcBorders>
                          <w:top w:val="nil"/>
                          <w:left w:val="nil"/>
                          <w:bottom w:val="single" w:sz="4" w:space="0" w:color="auto"/>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31</w:t>
                        </w:r>
                      </w:p>
                    </w:tc>
                  </w:tr>
                  <w:tr w:rsidR="007F1CD8" w:rsidRPr="00AB7CBB" w:rsidTr="00FA0E95">
                    <w:trPr>
                      <w:trHeight w:val="20"/>
                      <w:jc w:val="center"/>
                    </w:trPr>
                    <w:tc>
                      <w:tcPr>
                        <w:tcW w:w="625" w:type="dxa"/>
                        <w:tcBorders>
                          <w:top w:val="nil"/>
                          <w:left w:val="nil"/>
                          <w:bottom w:val="nil"/>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 </w:t>
                        </w:r>
                      </w:p>
                    </w:tc>
                    <w:tc>
                      <w:tcPr>
                        <w:tcW w:w="2160" w:type="dxa"/>
                        <w:tcBorders>
                          <w:top w:val="nil"/>
                          <w:left w:val="nil"/>
                          <w:bottom w:val="nil"/>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Coil Cavity</w:t>
                        </w:r>
                      </w:p>
                    </w:tc>
                    <w:tc>
                      <w:tcPr>
                        <w:tcW w:w="1080" w:type="dxa"/>
                        <w:tcBorders>
                          <w:top w:val="nil"/>
                          <w:left w:val="nil"/>
                          <w:bottom w:val="nil"/>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1.5%</w:t>
                        </w:r>
                      </w:p>
                    </w:tc>
                    <w:tc>
                      <w:tcPr>
                        <w:tcW w:w="1260" w:type="dxa"/>
                        <w:tcBorders>
                          <w:top w:val="nil"/>
                          <w:left w:val="nil"/>
                          <w:bottom w:val="nil"/>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3.9%</w:t>
                        </w:r>
                      </w:p>
                    </w:tc>
                    <w:tc>
                      <w:tcPr>
                        <w:tcW w:w="1170" w:type="dxa"/>
                        <w:tcBorders>
                          <w:top w:val="nil"/>
                          <w:left w:val="nil"/>
                          <w:bottom w:val="nil"/>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w:t>
                        </w:r>
                      </w:p>
                    </w:tc>
                    <w:tc>
                      <w:tcPr>
                        <w:tcW w:w="222" w:type="dxa"/>
                        <w:tcBorders>
                          <w:top w:val="nil"/>
                          <w:left w:val="nil"/>
                          <w:bottom w:val="nil"/>
                          <w:right w:val="nil"/>
                        </w:tcBorders>
                        <w:shd w:val="clear" w:color="000000" w:fill="FFFFFF"/>
                      </w:tcPr>
                      <w:p w:rsidR="007F1CD8" w:rsidRPr="00AB7CBB" w:rsidRDefault="007F1CD8" w:rsidP="00AB7CBB">
                        <w:pPr>
                          <w:jc w:val="center"/>
                          <w:rPr>
                            <w:color w:val="000000"/>
                            <w:sz w:val="16"/>
                            <w:szCs w:val="16"/>
                          </w:rPr>
                        </w:pPr>
                      </w:p>
                    </w:tc>
                    <w:tc>
                      <w:tcPr>
                        <w:tcW w:w="1080" w:type="dxa"/>
                        <w:tcBorders>
                          <w:top w:val="nil"/>
                          <w:left w:val="nil"/>
                          <w:bottom w:val="nil"/>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1.6%</w:t>
                        </w:r>
                      </w:p>
                    </w:tc>
                    <w:tc>
                      <w:tcPr>
                        <w:tcW w:w="1260" w:type="dxa"/>
                        <w:tcBorders>
                          <w:top w:val="nil"/>
                          <w:left w:val="nil"/>
                          <w:bottom w:val="nil"/>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6.0%</w:t>
                        </w:r>
                      </w:p>
                    </w:tc>
                    <w:tc>
                      <w:tcPr>
                        <w:tcW w:w="1091" w:type="dxa"/>
                        <w:tcBorders>
                          <w:top w:val="nil"/>
                          <w:left w:val="nil"/>
                          <w:bottom w:val="nil"/>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w:t>
                        </w:r>
                      </w:p>
                    </w:tc>
                  </w:tr>
                  <w:tr w:rsidR="007F1CD8" w:rsidRPr="00AB7CBB" w:rsidTr="00FA0E95">
                    <w:trPr>
                      <w:trHeight w:val="20"/>
                      <w:jc w:val="center"/>
                    </w:trPr>
                    <w:tc>
                      <w:tcPr>
                        <w:tcW w:w="625" w:type="dxa"/>
                        <w:tcBorders>
                          <w:top w:val="nil"/>
                          <w:left w:val="nil"/>
                          <w:bottom w:val="nil"/>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 </w:t>
                        </w:r>
                      </w:p>
                    </w:tc>
                    <w:tc>
                      <w:tcPr>
                        <w:tcW w:w="2160" w:type="dxa"/>
                        <w:tcBorders>
                          <w:top w:val="nil"/>
                          <w:left w:val="nil"/>
                          <w:bottom w:val="nil"/>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Cable Expansion</w:t>
                        </w:r>
                      </w:p>
                    </w:tc>
                    <w:tc>
                      <w:tcPr>
                        <w:tcW w:w="1080" w:type="dxa"/>
                        <w:tcBorders>
                          <w:top w:val="nil"/>
                          <w:left w:val="nil"/>
                          <w:bottom w:val="nil"/>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0.4%</w:t>
                        </w:r>
                      </w:p>
                    </w:tc>
                    <w:tc>
                      <w:tcPr>
                        <w:tcW w:w="1260" w:type="dxa"/>
                        <w:tcBorders>
                          <w:top w:val="nil"/>
                          <w:left w:val="nil"/>
                          <w:bottom w:val="nil"/>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4.4%</w:t>
                        </w:r>
                      </w:p>
                    </w:tc>
                    <w:tc>
                      <w:tcPr>
                        <w:tcW w:w="1170" w:type="dxa"/>
                        <w:tcBorders>
                          <w:top w:val="nil"/>
                          <w:left w:val="nil"/>
                          <w:bottom w:val="nil"/>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w:t>
                        </w:r>
                      </w:p>
                    </w:tc>
                    <w:tc>
                      <w:tcPr>
                        <w:tcW w:w="222" w:type="dxa"/>
                        <w:tcBorders>
                          <w:top w:val="nil"/>
                          <w:left w:val="nil"/>
                          <w:bottom w:val="nil"/>
                          <w:right w:val="nil"/>
                        </w:tcBorders>
                        <w:shd w:val="clear" w:color="000000" w:fill="FFFFFF"/>
                      </w:tcPr>
                      <w:p w:rsidR="007F1CD8" w:rsidRPr="00AB7CBB" w:rsidRDefault="007F1CD8" w:rsidP="00AB7CBB">
                        <w:pPr>
                          <w:jc w:val="center"/>
                          <w:rPr>
                            <w:color w:val="000000"/>
                            <w:sz w:val="16"/>
                            <w:szCs w:val="16"/>
                          </w:rPr>
                        </w:pPr>
                      </w:p>
                    </w:tc>
                    <w:tc>
                      <w:tcPr>
                        <w:tcW w:w="1080" w:type="dxa"/>
                        <w:tcBorders>
                          <w:top w:val="nil"/>
                          <w:left w:val="nil"/>
                          <w:bottom w:val="nil"/>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1.6%</w:t>
                        </w:r>
                      </w:p>
                    </w:tc>
                    <w:tc>
                      <w:tcPr>
                        <w:tcW w:w="1260" w:type="dxa"/>
                        <w:tcBorders>
                          <w:top w:val="nil"/>
                          <w:left w:val="nil"/>
                          <w:bottom w:val="nil"/>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3.8%</w:t>
                        </w:r>
                      </w:p>
                    </w:tc>
                    <w:tc>
                      <w:tcPr>
                        <w:tcW w:w="1091" w:type="dxa"/>
                        <w:tcBorders>
                          <w:top w:val="nil"/>
                          <w:left w:val="nil"/>
                          <w:bottom w:val="nil"/>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w:t>
                        </w:r>
                      </w:p>
                    </w:tc>
                  </w:tr>
                  <w:tr w:rsidR="007F1CD8" w:rsidRPr="00AB7CBB" w:rsidTr="00FA0E95">
                    <w:trPr>
                      <w:trHeight w:val="20"/>
                      <w:jc w:val="center"/>
                    </w:trPr>
                    <w:tc>
                      <w:tcPr>
                        <w:tcW w:w="625" w:type="dxa"/>
                        <w:tcBorders>
                          <w:top w:val="nil"/>
                          <w:left w:val="nil"/>
                          <w:bottom w:val="double" w:sz="6" w:space="0" w:color="auto"/>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 </w:t>
                        </w:r>
                      </w:p>
                    </w:tc>
                    <w:tc>
                      <w:tcPr>
                        <w:tcW w:w="2160" w:type="dxa"/>
                        <w:tcBorders>
                          <w:top w:val="nil"/>
                          <w:left w:val="nil"/>
                          <w:bottom w:val="double" w:sz="6" w:space="0" w:color="auto"/>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Free Space</w:t>
                        </w:r>
                      </w:p>
                    </w:tc>
                    <w:tc>
                      <w:tcPr>
                        <w:tcW w:w="1080" w:type="dxa"/>
                        <w:tcBorders>
                          <w:top w:val="nil"/>
                          <w:left w:val="nil"/>
                          <w:bottom w:val="double" w:sz="6" w:space="0" w:color="auto"/>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159 per layer</w:t>
                        </w:r>
                      </w:p>
                    </w:tc>
                    <w:tc>
                      <w:tcPr>
                        <w:tcW w:w="1260" w:type="dxa"/>
                        <w:tcBorders>
                          <w:top w:val="nil"/>
                          <w:left w:val="nil"/>
                          <w:bottom w:val="double" w:sz="6" w:space="0" w:color="auto"/>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-7 per turn</w:t>
                        </w:r>
                      </w:p>
                    </w:tc>
                    <w:tc>
                      <w:tcPr>
                        <w:tcW w:w="1170" w:type="dxa"/>
                        <w:tcBorders>
                          <w:top w:val="nil"/>
                          <w:left w:val="nil"/>
                          <w:bottom w:val="double" w:sz="6" w:space="0" w:color="auto"/>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w:t>
                        </w:r>
                      </w:p>
                    </w:tc>
                    <w:tc>
                      <w:tcPr>
                        <w:tcW w:w="222" w:type="dxa"/>
                        <w:tcBorders>
                          <w:top w:val="nil"/>
                          <w:left w:val="nil"/>
                          <w:bottom w:val="double" w:sz="6" w:space="0" w:color="auto"/>
                          <w:right w:val="nil"/>
                        </w:tcBorders>
                        <w:shd w:val="clear" w:color="000000" w:fill="FFFFFF"/>
                      </w:tcPr>
                      <w:p w:rsidR="007F1CD8" w:rsidRPr="00AB7CBB" w:rsidRDefault="007F1CD8" w:rsidP="00AB7CBB">
                        <w:pPr>
                          <w:jc w:val="center"/>
                          <w:rPr>
                            <w:color w:val="000000"/>
                            <w:sz w:val="16"/>
                            <w:szCs w:val="16"/>
                          </w:rPr>
                        </w:pPr>
                      </w:p>
                    </w:tc>
                    <w:tc>
                      <w:tcPr>
                        <w:tcW w:w="1080" w:type="dxa"/>
                        <w:tcBorders>
                          <w:top w:val="nil"/>
                          <w:left w:val="nil"/>
                          <w:bottom w:val="double" w:sz="6" w:space="0" w:color="auto"/>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0</w:t>
                        </w:r>
                      </w:p>
                    </w:tc>
                    <w:tc>
                      <w:tcPr>
                        <w:tcW w:w="1260" w:type="dxa"/>
                        <w:tcBorders>
                          <w:top w:val="nil"/>
                          <w:left w:val="nil"/>
                          <w:bottom w:val="double" w:sz="6" w:space="0" w:color="auto"/>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28 per turn</w:t>
                        </w:r>
                      </w:p>
                    </w:tc>
                    <w:tc>
                      <w:tcPr>
                        <w:tcW w:w="1091" w:type="dxa"/>
                        <w:tcBorders>
                          <w:top w:val="nil"/>
                          <w:left w:val="nil"/>
                          <w:bottom w:val="double" w:sz="6" w:space="0" w:color="auto"/>
                          <w:right w:val="nil"/>
                        </w:tcBorders>
                        <w:shd w:val="clear" w:color="000000" w:fill="FFFFFF"/>
                        <w:noWrap/>
                        <w:vAlign w:val="center"/>
                        <w:hideMark/>
                      </w:tcPr>
                      <w:p w:rsidR="007F1CD8" w:rsidRPr="00AB7CBB" w:rsidRDefault="007F1CD8" w:rsidP="00AB7CBB">
                        <w:pPr>
                          <w:jc w:val="center"/>
                          <w:rPr>
                            <w:color w:val="000000"/>
                            <w:sz w:val="16"/>
                            <w:szCs w:val="16"/>
                          </w:rPr>
                        </w:pPr>
                        <w:r w:rsidRPr="00AB7CBB">
                          <w:rPr>
                            <w:color w:val="000000"/>
                            <w:sz w:val="16"/>
                            <w:szCs w:val="16"/>
                          </w:rPr>
                          <w:t>-</w:t>
                        </w:r>
                      </w:p>
                    </w:tc>
                  </w:tr>
                </w:tbl>
                <w:p w:rsidR="007F1CD8" w:rsidRDefault="007F1CD8" w:rsidP="00FA0E95">
                  <w:pPr>
                    <w:pStyle w:val="FootnoteText"/>
                    <w:ind w:firstLine="0"/>
                  </w:pPr>
                  <w:r w:rsidRPr="00FA0E95">
                    <w:rPr>
                      <w:lang w:val="en-US"/>
                    </w:rPr>
                    <w:t>RMS displacement, waviness, and free space of each turn and coil block. Analysis is based on 20 total cross sections. RMS Displacement is the displacement of each block or turn with respect to the nominal position and to the average position of all coils. Waviness is the RMS shift of each turn or block between cross sections 100 and 200 mm apart. The coil cavity is the value that the cable is allowed to expand into. The cable expansion is measured from cable expansion experiments and other cross sections. The free space is the difference between the cavity size and the cable expansion.</w:t>
                  </w:r>
                </w:p>
              </w:txbxContent>
            </v:textbox>
            <w10:wrap type="square" anchorx="margin" anchory="margin"/>
          </v:shape>
        </w:pict>
      </w:r>
      <w:r w:rsidR="00B72072" w:rsidRPr="001C7B92">
        <w:rPr>
          <w:lang w:eastAsia="x-none"/>
        </w:rPr>
        <w:t>In Fig. 5</w:t>
      </w:r>
      <w:r w:rsidR="009C396A" w:rsidRPr="001C7B92">
        <w:rPr>
          <w:lang w:eastAsia="x-none"/>
        </w:rPr>
        <w:t>a</w:t>
      </w:r>
      <w:r w:rsidR="00B72072" w:rsidRPr="001C7B92">
        <w:rPr>
          <w:lang w:eastAsia="x-none"/>
        </w:rPr>
        <w:t xml:space="preserve"> there is a significant azimuthal shift near the wedge. </w:t>
      </w:r>
      <w:r w:rsidR="00FF11E9" w:rsidRPr="001C7B92">
        <w:rPr>
          <w:lang w:eastAsia="x-none"/>
        </w:rPr>
        <w:t>The cause of this large wedge jump is likely 2-fold: additional insulation on each wedge on the order of 100 µm (125 µm nominal, 175 µm measured) and the reduced cable width expansion of HQ17 allowing cable to reside on the thicker outer part of the wedge</w:t>
      </w:r>
      <w:r w:rsidR="00B72072" w:rsidRPr="001C7B92">
        <w:rPr>
          <w:lang w:eastAsia="x-none"/>
        </w:rPr>
        <w:t xml:space="preserve"> as demonstrated in Fig. 6</w:t>
      </w:r>
      <w:r w:rsidR="00FF11E9" w:rsidRPr="001C7B92">
        <w:rPr>
          <w:lang w:eastAsia="x-none"/>
        </w:rPr>
        <w:t>.</w:t>
      </w:r>
      <w:r w:rsidR="00B72072" w:rsidRPr="001C7B92">
        <w:rPr>
          <w:lang w:eastAsia="x-none"/>
        </w:rPr>
        <w:t xml:space="preserve"> </w:t>
      </w:r>
    </w:p>
    <w:p w:rsidR="00862B8F" w:rsidRPr="001C7B92" w:rsidRDefault="00B72072" w:rsidP="0002387D">
      <w:pPr>
        <w:pStyle w:val="Text"/>
        <w:rPr>
          <w:lang w:eastAsia="x-none"/>
        </w:rPr>
      </w:pPr>
      <w:r w:rsidRPr="001C7B92">
        <w:rPr>
          <w:lang w:eastAsia="x-none"/>
        </w:rPr>
        <w:t>In Fig. 5</w:t>
      </w:r>
      <w:r w:rsidR="009C396A" w:rsidRPr="001C7B92">
        <w:rPr>
          <w:lang w:eastAsia="x-none"/>
        </w:rPr>
        <w:t>b</w:t>
      </w:r>
      <w:r w:rsidRPr="001C7B92">
        <w:rPr>
          <w:lang w:eastAsia="x-none"/>
        </w:rPr>
        <w:t xml:space="preserve"> there is a clear rotational difference between HQ17 and the other coils. Having reduced cable width allows layer 2 turns to rotate with respect to nominal.</w:t>
      </w:r>
    </w:p>
    <w:p w:rsidR="00862B8F" w:rsidRPr="001C7B92" w:rsidRDefault="00A15553" w:rsidP="00A15553">
      <w:pPr>
        <w:pStyle w:val="Heading1"/>
      </w:pPr>
      <w:r w:rsidRPr="001C7B92">
        <w:t>Turn Waviness</w:t>
      </w:r>
    </w:p>
    <w:p w:rsidR="00A15553" w:rsidRPr="001C7B92" w:rsidRDefault="00A15553" w:rsidP="00A15553">
      <w:pPr>
        <w:pStyle w:val="Text"/>
        <w:rPr>
          <w:lang w:eastAsia="x-none"/>
        </w:rPr>
      </w:pPr>
      <w:r w:rsidRPr="001C7B92">
        <w:rPr>
          <w:lang w:eastAsia="x-none"/>
        </w:rPr>
        <w:t xml:space="preserve">Longitudinal waviness is defined as the amount that each turn or block shifts as a function of longitudinal position. More specifically, it is the difference in position of a block or turn as measured in two independent cross sections of a coil. In this manner the root mean square waviness for two cross sections that are only one mm apart should </w:t>
      </w:r>
      <w:r w:rsidR="00D57274" w:rsidRPr="001C7B92">
        <w:rPr>
          <w:lang w:eastAsia="x-none"/>
        </w:rPr>
        <w:t>be approximately zero. The root-mean-</w:t>
      </w:r>
      <w:r w:rsidRPr="001C7B92">
        <w:rPr>
          <w:lang w:eastAsia="x-none"/>
        </w:rPr>
        <w:t xml:space="preserve">square waviness for two cross sections that are several meters apart should asymptotically approach some value related to the constraints of the coil cavity. </w:t>
      </w:r>
      <w:r w:rsidR="00045453" w:rsidRPr="001C7B92">
        <w:rPr>
          <w:lang w:eastAsia="x-none"/>
        </w:rPr>
        <w:t xml:space="preserve">In this manner the measured harmonic standard deviations and </w:t>
      </w:r>
      <w:r w:rsidR="00F261E2" w:rsidRPr="001C7B92">
        <w:rPr>
          <w:noProof/>
          <w:lang w:eastAsia="x-none"/>
        </w:rPr>
        <w:lastRenderedPageBreak/>
        <w:pict>
          <v:shape id="_x0000_s1057" type="#_x0000_t202" style="position:absolute;left:0;text-align:left;margin-left:-1.1pt;margin-top:-12.15pt;width:252pt;height:170.25pt;z-index:5;visibility:visible;mso-wrap-distance-left:9pt;mso-wrap-distance-top:0;mso-wrap-distance-right:9pt;mso-wrap-distance-bottom:9.35pt;mso-position-horizontal-relative:margin;mso-position-vertical-relative:margin;mso-width-relative:page;mso-height-relative:page;v-text-anchor:top" o:allowoverlap="f" stroked="f">
            <v:textbox style="mso-next-textbox:#_x0000_s1057" inset="0,0,0,0">
              <w:txbxContent>
                <w:p w:rsidR="007F1CD8" w:rsidRDefault="00F261E2" w:rsidP="00FF11E9">
                  <w:pPr>
                    <w:pStyle w:val="FootnoteText"/>
                    <w:ind w:firstLine="0"/>
                    <w:jc w:val="center"/>
                  </w:pPr>
                  <w:r>
                    <w:rPr>
                      <w:noProof/>
                    </w:rPr>
                    <w:pict>
                      <v:shape id="_x0000_i1037" type="#_x0000_t75" style="width:251.25pt;height:151.5pt;visibility:visible;mso-wrap-style:square">
                        <v:imagedata r:id="rId21" o:title=""/>
                      </v:shape>
                    </w:pict>
                  </w:r>
                </w:p>
                <w:p w:rsidR="007F1CD8" w:rsidRPr="00805B16" w:rsidRDefault="007F1CD8" w:rsidP="00FF11E9">
                  <w:pPr>
                    <w:pStyle w:val="FootnoteText"/>
                    <w:ind w:firstLine="0"/>
                    <w:rPr>
                      <w:lang w:val="en-US"/>
                    </w:rPr>
                  </w:pPr>
                  <w:r>
                    <w:t xml:space="preserve">Fig. </w:t>
                  </w:r>
                  <w:r>
                    <w:rPr>
                      <w:lang w:val="en-US"/>
                    </w:rPr>
                    <w:t xml:space="preserve">7. Radial, Azimuthal, and Rotational waviness for HQ17 on the left and all other coils on the right. </w:t>
                  </w:r>
                </w:p>
              </w:txbxContent>
            </v:textbox>
            <w10:wrap type="topAndBottom" anchorx="margin" anchory="margin"/>
          </v:shape>
        </w:pict>
      </w:r>
      <w:r w:rsidR="00045453" w:rsidRPr="001C7B92">
        <w:rPr>
          <w:lang w:eastAsia="x-none"/>
        </w:rPr>
        <w:t xml:space="preserve">waviness should be directly correlated. Waviness does not account for systematic displacements or systematic harmonics but is accounted for by the measured displacements from nominal in the previous section. </w:t>
      </w:r>
      <w:r w:rsidRPr="001C7B92">
        <w:rPr>
          <w:lang w:eastAsia="x-none"/>
        </w:rPr>
        <w:t>Data was collec</w:t>
      </w:r>
      <w:r w:rsidR="00E36AC7" w:rsidRPr="001C7B92">
        <w:rPr>
          <w:lang w:eastAsia="x-none"/>
        </w:rPr>
        <w:t>ted from all four coils of HQ02, but HQ17</w:t>
      </w:r>
      <w:r w:rsidRPr="001C7B92">
        <w:rPr>
          <w:lang w:eastAsia="x-none"/>
        </w:rPr>
        <w:t xml:space="preserve"> data was split from </w:t>
      </w:r>
      <w:r w:rsidR="00E36AC7" w:rsidRPr="001C7B92">
        <w:rPr>
          <w:lang w:eastAsia="x-none"/>
        </w:rPr>
        <w:t>the others</w:t>
      </w:r>
      <w:r w:rsidRPr="001C7B92">
        <w:rPr>
          <w:lang w:eastAsia="x-none"/>
        </w:rPr>
        <w:t xml:space="preserve"> due to the difference in cable</w:t>
      </w:r>
      <w:r w:rsidR="00E36AC7" w:rsidRPr="001C7B92">
        <w:rPr>
          <w:lang w:eastAsia="x-none"/>
        </w:rPr>
        <w:t xml:space="preserve"> insulation</w:t>
      </w:r>
      <w:r w:rsidRPr="001C7B92">
        <w:rPr>
          <w:lang w:eastAsia="x-none"/>
        </w:rPr>
        <w:t xml:space="preserve">. </w:t>
      </w:r>
    </w:p>
    <w:p w:rsidR="00903C56" w:rsidRPr="001C7B92" w:rsidRDefault="00F261E2" w:rsidP="00903C56">
      <w:pPr>
        <w:pStyle w:val="Text"/>
        <w:rPr>
          <w:lang w:eastAsia="x-none"/>
        </w:rPr>
      </w:pPr>
      <w:r w:rsidRPr="001C7B92">
        <w:rPr>
          <w:noProof/>
          <w:lang w:val="x-none" w:eastAsia="x-none"/>
        </w:rPr>
        <w:pict>
          <v:shape id="_x0000_s1065" type="#_x0000_t202" style="position:absolute;left:0;text-align:left;margin-left:-1.25pt;margin-top:164.85pt;width:252pt;height:152.7pt;z-index:10;visibility:visible;mso-wrap-distance-left:9pt;mso-wrap-distance-top:0;mso-wrap-distance-right:9pt;mso-wrap-distance-bottom:9.35pt;mso-position-horizontal-relative:margin;mso-position-vertical-relative:margin;mso-width-relative:page;mso-height-relative:page;v-text-anchor:top" o:allowoverlap="f" stroked="f">
            <v:textbox style="mso-next-textbox:#_x0000_s1065" inset="0,0,0,0">
              <w:txbxContent>
                <w:p w:rsidR="007F1CD8" w:rsidRDefault="00F261E2" w:rsidP="00F020F6">
                  <w:pPr>
                    <w:pStyle w:val="FootnoteText"/>
                    <w:ind w:firstLine="0"/>
                    <w:jc w:val="center"/>
                  </w:pPr>
                  <w:r>
                    <w:rPr>
                      <w:noProof/>
                    </w:rPr>
                    <w:pict>
                      <v:shape id="_x0000_i1038" type="#_x0000_t75" style="width:251.25pt;height:131.25pt;visibility:visible;mso-wrap-style:square">
                        <v:imagedata r:id="rId22" o:title=""/>
                      </v:shape>
                    </w:pict>
                  </w:r>
                </w:p>
                <w:p w:rsidR="007F1CD8" w:rsidRPr="00805B16" w:rsidRDefault="007F1CD8" w:rsidP="00F020F6">
                  <w:pPr>
                    <w:pStyle w:val="FootnoteText"/>
                    <w:ind w:firstLine="0"/>
                    <w:rPr>
                      <w:lang w:val="en-US"/>
                    </w:rPr>
                  </w:pPr>
                  <w:r>
                    <w:t xml:space="preserve">Fig. </w:t>
                  </w:r>
                  <w:r>
                    <w:rPr>
                      <w:lang w:val="en-US"/>
                    </w:rPr>
                    <w:t>8. RMS harmonics as measured and as calculated from the quadrature sum of block and turn displacement and waviness.</w:t>
                  </w:r>
                </w:p>
              </w:txbxContent>
            </v:textbox>
            <w10:wrap type="topAndBottom" anchorx="margin" anchory="margin"/>
          </v:shape>
        </w:pict>
      </w:r>
      <w:r w:rsidR="00903C56" w:rsidRPr="001C7B92">
        <w:rPr>
          <w:lang w:eastAsia="x-none"/>
        </w:rPr>
        <w:t>The radial waviness in all co</w:t>
      </w:r>
      <w:r w:rsidR="00E36AC7" w:rsidRPr="001C7B92">
        <w:rPr>
          <w:lang w:eastAsia="x-none"/>
        </w:rPr>
        <w:t xml:space="preserve">ils is quite consistent despite </w:t>
      </w:r>
      <w:r w:rsidR="00903C56" w:rsidRPr="001C7B92">
        <w:rPr>
          <w:lang w:eastAsia="x-none"/>
        </w:rPr>
        <w:t>HQ17 having roughly 15</w:t>
      </w:r>
      <w:r w:rsidR="00D57274" w:rsidRPr="001C7B92">
        <w:rPr>
          <w:lang w:eastAsia="x-none"/>
        </w:rPr>
        <w:t>9</w:t>
      </w:r>
      <w:r w:rsidR="00903C56" w:rsidRPr="001C7B92">
        <w:rPr>
          <w:lang w:eastAsia="x-none"/>
        </w:rPr>
        <w:t xml:space="preserve"> µm per layer more radial free space compared to other coils. The bulk of this additional free space is realized by additional turn rotation waviness as seen in Fig. </w:t>
      </w:r>
      <w:r w:rsidR="00E36AC7" w:rsidRPr="001C7B92">
        <w:rPr>
          <w:lang w:eastAsia="x-none"/>
        </w:rPr>
        <w:t>7</w:t>
      </w:r>
      <w:r w:rsidR="00903C56" w:rsidRPr="001C7B92">
        <w:rPr>
          <w:lang w:eastAsia="x-none"/>
        </w:rPr>
        <w:t xml:space="preserve"> for both the blocks and turns.</w:t>
      </w:r>
    </w:p>
    <w:p w:rsidR="002D254C" w:rsidRPr="001C7B92" w:rsidRDefault="00903C56" w:rsidP="00E36AC7">
      <w:pPr>
        <w:pStyle w:val="Text"/>
        <w:rPr>
          <w:lang w:eastAsia="x-none"/>
        </w:rPr>
      </w:pPr>
      <w:r w:rsidRPr="001C7B92">
        <w:rPr>
          <w:lang w:eastAsia="x-none"/>
        </w:rPr>
        <w:t xml:space="preserve">The azimuthal free space using sock type insulation is 28 µm per turn or 280 and 364 µm for L1 and L2 while the braid type insulation has zero free space. </w:t>
      </w:r>
      <w:r w:rsidR="00E36AC7" w:rsidRPr="001C7B92">
        <w:rPr>
          <w:lang w:eastAsia="x-none"/>
        </w:rPr>
        <w:t>The braided on insulation is 104 µm thick and the sock type is 90 µm thick [10]. This differences produces the various</w:t>
      </w:r>
      <w:r w:rsidR="00D57274" w:rsidRPr="001C7B92">
        <w:rPr>
          <w:lang w:eastAsia="x-none"/>
        </w:rPr>
        <w:t xml:space="preserve"> coil cavity sizes seen in Table</w:t>
      </w:r>
      <w:r w:rsidR="00E36AC7" w:rsidRPr="001C7B92">
        <w:rPr>
          <w:lang w:eastAsia="x-none"/>
        </w:rPr>
        <w:t xml:space="preserve"> I. </w:t>
      </w:r>
      <w:r w:rsidRPr="001C7B92">
        <w:rPr>
          <w:lang w:eastAsia="x-none"/>
        </w:rPr>
        <w:t>Sock type coil waviness is 5 times larger than the braided-on insu</w:t>
      </w:r>
      <w:r w:rsidR="00E36AC7" w:rsidRPr="001C7B92">
        <w:rPr>
          <w:lang w:eastAsia="x-none"/>
        </w:rPr>
        <w:t>lation of HQ17 as seen in Fig. 7</w:t>
      </w:r>
      <w:r w:rsidRPr="001C7B92">
        <w:rPr>
          <w:lang w:eastAsia="x-none"/>
        </w:rPr>
        <w:t>. The azimuthal free space corresponds very well with azimuthal waviness.</w:t>
      </w:r>
      <w:r w:rsidR="00E36AC7" w:rsidRPr="001C7B92">
        <w:rPr>
          <w:lang w:eastAsia="x-none"/>
        </w:rPr>
        <w:t xml:space="preserve"> </w:t>
      </w:r>
      <w:r w:rsidR="002D254C" w:rsidRPr="001C7B92">
        <w:rPr>
          <w:lang w:eastAsia="x-none"/>
        </w:rPr>
        <w:t>TABLE I provides a baseline for simulating the range of harmonics that should be measured longitudinally along the magnetic length.</w:t>
      </w:r>
    </w:p>
    <w:p w:rsidR="002D254C" w:rsidRPr="001C7B92" w:rsidRDefault="00F261E2" w:rsidP="002D254C">
      <w:pPr>
        <w:pStyle w:val="Heading1"/>
      </w:pPr>
      <w:r w:rsidRPr="001C7B92">
        <w:rPr>
          <w:noProof/>
        </w:rPr>
        <w:pict>
          <v:shape id="_x0000_s1064" type="#_x0000_t202" style="position:absolute;left:0;text-align:left;margin-left:268.15pt;margin-top:-7.05pt;width:252pt;height:175.65pt;z-index:9;visibility:visible;mso-wrap-distance-left:9pt;mso-wrap-distance-top:0;mso-wrap-distance-right:9pt;mso-wrap-distance-bottom:9.35pt;mso-position-horizontal-relative:margin;mso-position-vertical-relative:margin;mso-width-relative:page;mso-height-relative:page;v-text-anchor:top" o:allowoverlap="f" stroked="f">
            <v:textbox style="mso-next-textbox:#_x0000_s1064" inset="0,0,0,0">
              <w:txbxContent>
                <w:p w:rsidR="007F1CD8" w:rsidRDefault="00F261E2" w:rsidP="009E1106">
                  <w:pPr>
                    <w:pStyle w:val="FootnoteText"/>
                    <w:ind w:firstLine="0"/>
                    <w:jc w:val="center"/>
                  </w:pPr>
                  <w:r>
                    <w:rPr>
                      <w:smallCaps/>
                      <w:noProof/>
                      <w:lang w:val="en-US" w:eastAsia="en-US"/>
                    </w:rPr>
                    <w:pict>
                      <v:shape id="_x0000_i1039" type="#_x0000_t75" style="width:250.5pt;height:155.25pt;visibility:visible;mso-wrap-style:square">
                        <v:imagedata r:id="rId23" o:title=""/>
                      </v:shape>
                    </w:pict>
                  </w:r>
                </w:p>
                <w:p w:rsidR="007F1CD8" w:rsidRPr="00805B16" w:rsidRDefault="007F1CD8" w:rsidP="009E1106">
                  <w:pPr>
                    <w:pStyle w:val="FootnoteText"/>
                    <w:ind w:firstLine="0"/>
                    <w:rPr>
                      <w:lang w:val="en-US"/>
                    </w:rPr>
                  </w:pPr>
                  <w:r>
                    <w:t xml:space="preserve">Fig. </w:t>
                  </w:r>
                  <w:r>
                    <w:rPr>
                      <w:lang w:val="en-US"/>
                    </w:rPr>
                    <w:t>9. Measured harmonics and calculated harmonics from coil cross sections at two specific locations in HQ02.</w:t>
                  </w:r>
                </w:p>
              </w:txbxContent>
            </v:textbox>
            <w10:wrap type="topAndBottom" anchorx="margin" anchory="margin"/>
          </v:shape>
        </w:pict>
      </w:r>
      <w:r w:rsidR="002D254C" w:rsidRPr="001C7B92">
        <w:t>Harmonics Based on Displacements and Waviness</w:t>
      </w:r>
    </w:p>
    <w:p w:rsidR="002D254C" w:rsidRPr="001C7B92" w:rsidRDefault="002D254C" w:rsidP="002D254C">
      <w:pPr>
        <w:pStyle w:val="Text"/>
        <w:rPr>
          <w:lang w:eastAsia="x-none"/>
        </w:rPr>
      </w:pPr>
      <w:r w:rsidRPr="001C7B92">
        <w:rPr>
          <w:lang w:eastAsia="x-none"/>
        </w:rPr>
        <w:t xml:space="preserve">The amount that each harmonic changes longitudinally is determined by how each coil, block, and turn moves laterally or shifts along the magnet. A Monte-Carlo code was written in Java to calculate the harmonics based on 36 line currents uniformly distributed within each cable block. The code neglects effects from iron. Random </w:t>
      </w:r>
      <w:r w:rsidR="00C634DA" w:rsidRPr="001C7B92">
        <w:rPr>
          <w:lang w:eastAsia="x-none"/>
        </w:rPr>
        <w:t>turn and block</w:t>
      </w:r>
      <w:r w:rsidRPr="001C7B92">
        <w:rPr>
          <w:lang w:eastAsia="x-none"/>
        </w:rPr>
        <w:t xml:space="preserve"> shifts are binomially distributed with a standard deviation based on cross sectional data in TABLE I.</w:t>
      </w:r>
    </w:p>
    <w:p w:rsidR="002D254C" w:rsidRPr="001C7B92" w:rsidRDefault="002D254C" w:rsidP="002D254C">
      <w:pPr>
        <w:pStyle w:val="Text"/>
        <w:rPr>
          <w:lang w:eastAsia="x-none"/>
        </w:rPr>
      </w:pPr>
      <w:r w:rsidRPr="001C7B92">
        <w:rPr>
          <w:lang w:eastAsia="x-none"/>
        </w:rPr>
        <w:t xml:space="preserve">The normal and skew RMS </w:t>
      </w:r>
      <w:r w:rsidR="00E63021" w:rsidRPr="001C7B92">
        <w:rPr>
          <w:lang w:eastAsia="x-none"/>
        </w:rPr>
        <w:t>h</w:t>
      </w:r>
      <w:r w:rsidR="0080230A" w:rsidRPr="001C7B92">
        <w:rPr>
          <w:lang w:eastAsia="x-none"/>
        </w:rPr>
        <w:t>armonics are presented in Fig. 8</w:t>
      </w:r>
      <w:r w:rsidRPr="001C7B92">
        <w:rPr>
          <w:lang w:eastAsia="x-none"/>
        </w:rPr>
        <w:t xml:space="preserve"> as generated by displacements and waviness. The total expected RMS harmonics and the actual measured RMS h</w:t>
      </w:r>
      <w:r w:rsidR="00A470C9" w:rsidRPr="001C7B92">
        <w:rPr>
          <w:lang w:eastAsia="x-none"/>
        </w:rPr>
        <w:t>armonics are presented in Fig. 8</w:t>
      </w:r>
      <w:r w:rsidRPr="001C7B92">
        <w:rPr>
          <w:lang w:eastAsia="x-none"/>
        </w:rPr>
        <w:t xml:space="preserve"> as well. The reader is reminded that </w:t>
      </w:r>
      <w:r w:rsidRPr="001C7B92">
        <w:rPr>
          <w:i/>
          <w:lang w:eastAsia="x-none"/>
        </w:rPr>
        <w:t>RMS</w:t>
      </w:r>
      <w:r w:rsidRPr="001C7B92">
        <w:rPr>
          <w:i/>
          <w:vertAlign w:val="superscript"/>
          <w:lang w:eastAsia="x-none"/>
        </w:rPr>
        <w:t>2</w:t>
      </w:r>
      <w:r w:rsidRPr="001C7B92">
        <w:rPr>
          <w:i/>
          <w:lang w:eastAsia="x-none"/>
        </w:rPr>
        <w:t xml:space="preserve"> = </w:t>
      </w:r>
      <w:r w:rsidRPr="001C7B92">
        <w:rPr>
          <w:rFonts w:ascii="Calibri" w:hAnsi="Calibri"/>
          <w:i/>
          <w:lang w:eastAsia="x-none"/>
        </w:rPr>
        <w:t>σ</w:t>
      </w:r>
      <w:r w:rsidRPr="001C7B92">
        <w:rPr>
          <w:i/>
          <w:vertAlign w:val="superscript"/>
          <w:lang w:eastAsia="x-none"/>
        </w:rPr>
        <w:t>2</w:t>
      </w:r>
      <w:r w:rsidRPr="001C7B92">
        <w:rPr>
          <w:i/>
          <w:lang w:eastAsia="x-none"/>
        </w:rPr>
        <w:t xml:space="preserve"> + avg</w:t>
      </w:r>
      <w:r w:rsidRPr="001C7B92">
        <w:rPr>
          <w:i/>
          <w:vertAlign w:val="superscript"/>
          <w:lang w:eastAsia="x-none"/>
        </w:rPr>
        <w:t>2</w:t>
      </w:r>
      <w:r w:rsidRPr="001C7B92">
        <w:rPr>
          <w:lang w:eastAsia="x-none"/>
        </w:rPr>
        <w:t xml:space="preserve"> for all values. The b</w:t>
      </w:r>
      <w:r w:rsidRPr="001C7B92">
        <w:rPr>
          <w:vertAlign w:val="subscript"/>
          <w:lang w:eastAsia="x-none"/>
        </w:rPr>
        <w:t>3</w:t>
      </w:r>
      <w:r w:rsidRPr="001C7B92">
        <w:rPr>
          <w:lang w:eastAsia="x-none"/>
        </w:rPr>
        <w:t>, b</w:t>
      </w:r>
      <w:r w:rsidRPr="001C7B92">
        <w:rPr>
          <w:vertAlign w:val="subscript"/>
          <w:lang w:eastAsia="x-none"/>
        </w:rPr>
        <w:t>10</w:t>
      </w:r>
      <w:r w:rsidRPr="001C7B92">
        <w:rPr>
          <w:lang w:eastAsia="x-none"/>
        </w:rPr>
        <w:t>, and a</w:t>
      </w:r>
      <w:r w:rsidRPr="001C7B92">
        <w:rPr>
          <w:vertAlign w:val="subscript"/>
          <w:lang w:eastAsia="x-none"/>
        </w:rPr>
        <w:t>10</w:t>
      </w:r>
      <w:r w:rsidRPr="001C7B92">
        <w:rPr>
          <w:lang w:eastAsia="x-none"/>
        </w:rPr>
        <w:t xml:space="preserve"> measured harmonics are signi</w:t>
      </w:r>
      <w:r w:rsidR="00E63021" w:rsidRPr="001C7B92">
        <w:rPr>
          <w:lang w:eastAsia="x-none"/>
        </w:rPr>
        <w:t>ficantly larger than expected based on cro</w:t>
      </w:r>
      <w:bookmarkStart w:id="0" w:name="_GoBack"/>
      <w:bookmarkEnd w:id="0"/>
      <w:r w:rsidR="00E63021" w:rsidRPr="001C7B92">
        <w:rPr>
          <w:lang w:eastAsia="x-none"/>
        </w:rPr>
        <w:t>ss section data</w:t>
      </w:r>
      <w:r w:rsidRPr="001C7B92">
        <w:rPr>
          <w:lang w:eastAsia="x-none"/>
        </w:rPr>
        <w:t>. The b</w:t>
      </w:r>
      <w:r w:rsidRPr="001C7B92">
        <w:rPr>
          <w:vertAlign w:val="subscript"/>
          <w:lang w:eastAsia="x-none"/>
        </w:rPr>
        <w:t>10</w:t>
      </w:r>
      <w:r w:rsidRPr="001C7B92">
        <w:rPr>
          <w:lang w:eastAsia="x-none"/>
        </w:rPr>
        <w:t xml:space="preserve"> and a</w:t>
      </w:r>
      <w:r w:rsidRPr="001C7B92">
        <w:rPr>
          <w:vertAlign w:val="subscript"/>
          <w:lang w:eastAsia="x-none"/>
        </w:rPr>
        <w:t>10</w:t>
      </w:r>
      <w:r w:rsidRPr="001C7B92">
        <w:rPr>
          <w:lang w:eastAsia="x-none"/>
        </w:rPr>
        <w:t xml:space="preserve"> harmonics are likely due to probe resolution issues for high order harmonics.</w:t>
      </w:r>
      <w:r w:rsidR="00E63021" w:rsidRPr="001C7B92">
        <w:rPr>
          <w:lang w:eastAsia="x-none"/>
        </w:rPr>
        <w:t xml:space="preserve"> The b</w:t>
      </w:r>
      <w:r w:rsidR="00E63021" w:rsidRPr="001C7B92">
        <w:rPr>
          <w:vertAlign w:val="subscript"/>
          <w:lang w:eastAsia="x-none"/>
        </w:rPr>
        <w:t>3</w:t>
      </w:r>
      <w:r w:rsidR="00E63021" w:rsidRPr="001C7B92">
        <w:rPr>
          <w:lang w:eastAsia="x-none"/>
        </w:rPr>
        <w:t xml:space="preserve"> harmonic</w:t>
      </w:r>
      <w:r w:rsidRPr="001C7B92">
        <w:rPr>
          <w:lang w:eastAsia="x-none"/>
        </w:rPr>
        <w:t xml:space="preserve"> is 2.7</w:t>
      </w:r>
      <w:r w:rsidRPr="001C7B92">
        <w:rPr>
          <w:rFonts w:ascii="Calibri" w:hAnsi="Calibri"/>
          <w:lang w:eastAsia="x-none"/>
        </w:rPr>
        <w:t>σ</w:t>
      </w:r>
      <w:r w:rsidRPr="001C7B92">
        <w:rPr>
          <w:lang w:eastAsia="x-none"/>
        </w:rPr>
        <w:t xml:space="preserve"> larger than what would be expected </w:t>
      </w:r>
      <w:r w:rsidR="0072143C" w:rsidRPr="001C7B92">
        <w:rPr>
          <w:lang w:eastAsia="x-none"/>
        </w:rPr>
        <w:t>and</w:t>
      </w:r>
      <w:r w:rsidR="00E63021" w:rsidRPr="001C7B92">
        <w:rPr>
          <w:lang w:eastAsia="x-none"/>
        </w:rPr>
        <w:t xml:space="preserve"> suggests that the large b</w:t>
      </w:r>
      <w:r w:rsidR="00E63021" w:rsidRPr="001C7B92">
        <w:rPr>
          <w:vertAlign w:val="subscript"/>
          <w:lang w:eastAsia="x-none"/>
        </w:rPr>
        <w:t>3</w:t>
      </w:r>
      <w:r w:rsidR="00E63021" w:rsidRPr="001C7B92">
        <w:rPr>
          <w:lang w:eastAsia="x-none"/>
        </w:rPr>
        <w:t xml:space="preserve"> in HQ02 is not from turn movement </w:t>
      </w:r>
      <w:r w:rsidR="00565A97" w:rsidRPr="001C7B92">
        <w:rPr>
          <w:lang w:eastAsia="x-none"/>
        </w:rPr>
        <w:t xml:space="preserve">or waviness </w:t>
      </w:r>
      <w:r w:rsidR="00E63021" w:rsidRPr="001C7B92">
        <w:rPr>
          <w:lang w:eastAsia="x-none"/>
        </w:rPr>
        <w:t>within the coils</w:t>
      </w:r>
      <w:r w:rsidR="0072143C" w:rsidRPr="001C7B92">
        <w:rPr>
          <w:lang w:eastAsia="x-none"/>
        </w:rPr>
        <w:t>.</w:t>
      </w:r>
    </w:p>
    <w:p w:rsidR="00862B8F" w:rsidRPr="001C7B92" w:rsidRDefault="00E472D5" w:rsidP="00E472D5">
      <w:pPr>
        <w:pStyle w:val="Heading1"/>
      </w:pPr>
      <w:r w:rsidRPr="001C7B92">
        <w:t>Harmonics from Reconstructed Cross Sections</w:t>
      </w:r>
    </w:p>
    <w:p w:rsidR="00E472D5" w:rsidRPr="001C7B92" w:rsidRDefault="00C634DA" w:rsidP="00E472D5">
      <w:pPr>
        <w:pStyle w:val="Text"/>
        <w:rPr>
          <w:lang w:eastAsia="x-none"/>
        </w:rPr>
      </w:pPr>
      <w:r w:rsidRPr="001C7B92">
        <w:rPr>
          <w:lang w:eastAsia="x-none"/>
        </w:rPr>
        <w:t>Cross sections from</w:t>
      </w:r>
      <w:r w:rsidR="0072143C" w:rsidRPr="001C7B92">
        <w:rPr>
          <w:lang w:eastAsia="x-none"/>
        </w:rPr>
        <w:t xml:space="preserve"> all four coils </w:t>
      </w:r>
      <w:r w:rsidRPr="001C7B92">
        <w:rPr>
          <w:lang w:eastAsia="x-none"/>
        </w:rPr>
        <w:t>were reconstructed as close as possible to</w:t>
      </w:r>
      <w:r w:rsidR="0072143C" w:rsidRPr="001C7B92">
        <w:rPr>
          <w:lang w:eastAsia="x-none"/>
        </w:rPr>
        <w:t xml:space="preserve"> the actual HQ02 magnet at </w:t>
      </w:r>
      <w:r w:rsidRPr="001C7B92">
        <w:rPr>
          <w:lang w:eastAsia="x-none"/>
        </w:rPr>
        <w:t>z</w:t>
      </w:r>
      <w:r w:rsidR="0072143C" w:rsidRPr="001C7B92">
        <w:rPr>
          <w:lang w:eastAsia="x-none"/>
        </w:rPr>
        <w:t xml:space="preserve"> = -5 mm and -105 mm. The shim package </w:t>
      </w:r>
      <w:r w:rsidR="00A470C9" w:rsidRPr="001C7B92">
        <w:rPr>
          <w:lang w:eastAsia="x-none"/>
        </w:rPr>
        <w:t xml:space="preserve">and torque specification </w:t>
      </w:r>
      <w:r w:rsidR="0072143C" w:rsidRPr="001C7B92">
        <w:rPr>
          <w:lang w:eastAsia="x-none"/>
        </w:rPr>
        <w:t>was identical to what was used in HQ02.</w:t>
      </w:r>
    </w:p>
    <w:p w:rsidR="00862B8F" w:rsidRPr="001C7B92" w:rsidRDefault="00E472D5" w:rsidP="00E472D5">
      <w:pPr>
        <w:pStyle w:val="Text"/>
        <w:rPr>
          <w:lang w:eastAsia="x-none"/>
        </w:rPr>
      </w:pPr>
      <w:r w:rsidRPr="001C7B92">
        <w:rPr>
          <w:lang w:eastAsia="x-none"/>
        </w:rPr>
        <w:t>All previous consideration apply to the process of collecting data points, except f</w:t>
      </w:r>
      <w:r w:rsidR="0072143C" w:rsidRPr="001C7B92">
        <w:rPr>
          <w:lang w:eastAsia="x-none"/>
        </w:rPr>
        <w:t>or the reference frame setting. Rather than using a best fit approach, the center of</w:t>
      </w:r>
      <w:r w:rsidRPr="001C7B92">
        <w:rPr>
          <w:lang w:eastAsia="x-none"/>
        </w:rPr>
        <w:t xml:space="preserve"> each keyway</w:t>
      </w:r>
      <w:r w:rsidR="0072143C" w:rsidRPr="001C7B92">
        <w:rPr>
          <w:lang w:eastAsia="x-none"/>
        </w:rPr>
        <w:t xml:space="preserve"> </w:t>
      </w:r>
      <w:r w:rsidRPr="001C7B92">
        <w:rPr>
          <w:lang w:eastAsia="x-none"/>
        </w:rPr>
        <w:t>was computed and the center of the reference frame was set at the intersection of the line passing through opposite keyway centers.</w:t>
      </w:r>
    </w:p>
    <w:p w:rsidR="00E472D5" w:rsidRPr="001C7B92" w:rsidRDefault="00E472D5" w:rsidP="00E472D5">
      <w:pPr>
        <w:pStyle w:val="Text"/>
        <w:rPr>
          <w:lang w:eastAsia="x-none"/>
        </w:rPr>
      </w:pPr>
      <w:r w:rsidRPr="001C7B92">
        <w:rPr>
          <w:lang w:eastAsia="x-none"/>
        </w:rPr>
        <w:t xml:space="preserve">The magnetic field </w:t>
      </w:r>
      <w:r w:rsidR="00A470C9" w:rsidRPr="001C7B92">
        <w:rPr>
          <w:lang w:eastAsia="x-none"/>
        </w:rPr>
        <w:t>was</w:t>
      </w:r>
      <w:r w:rsidRPr="001C7B92">
        <w:rPr>
          <w:lang w:eastAsia="x-none"/>
        </w:rPr>
        <w:t xml:space="preserve"> calculated using COMSOL with the iron properties equal to the magnetization chart used in OPERA. Various comparisons of COMSOL with OPERA and ROXIE were performed with indistinguishable results [11].</w:t>
      </w:r>
    </w:p>
    <w:p w:rsidR="00862B8F" w:rsidRPr="001C7B92" w:rsidRDefault="00E472D5" w:rsidP="00E472D5">
      <w:pPr>
        <w:pStyle w:val="Text"/>
        <w:rPr>
          <w:lang w:eastAsia="x-none"/>
        </w:rPr>
      </w:pPr>
      <w:r w:rsidRPr="001C7B92">
        <w:rPr>
          <w:lang w:eastAsia="x-none"/>
        </w:rPr>
        <w:t>The measur</w:t>
      </w:r>
      <w:r w:rsidR="00A470C9" w:rsidRPr="001C7B92">
        <w:rPr>
          <w:lang w:eastAsia="x-none"/>
        </w:rPr>
        <w:t>ed and calculated harmonics are presented in Fig. 9.</w:t>
      </w:r>
      <w:r w:rsidRPr="001C7B92">
        <w:rPr>
          <w:lang w:eastAsia="x-none"/>
        </w:rPr>
        <w:t xml:space="preserve"> The measured harmonics are </w:t>
      </w:r>
      <w:r w:rsidR="0031462F" w:rsidRPr="001C7B92">
        <w:rPr>
          <w:lang w:eastAsia="x-none"/>
        </w:rPr>
        <w:t xml:space="preserve">from a 100 mm long rotating coil. </w:t>
      </w:r>
      <w:r w:rsidR="00A470C9" w:rsidRPr="001C7B92">
        <w:rPr>
          <w:lang w:eastAsia="x-none"/>
        </w:rPr>
        <w:t>C</w:t>
      </w:r>
      <w:r w:rsidRPr="001C7B92">
        <w:rPr>
          <w:lang w:eastAsia="x-none"/>
        </w:rPr>
        <w:t>alculated harmonics are from full magnet cross sections</w:t>
      </w:r>
      <w:r w:rsidR="00A470C9" w:rsidRPr="001C7B92">
        <w:rPr>
          <w:lang w:eastAsia="x-none"/>
        </w:rPr>
        <w:t xml:space="preserve"> with </w:t>
      </w:r>
      <w:r w:rsidR="0031462F" w:rsidRPr="001C7B92">
        <w:rPr>
          <w:lang w:eastAsia="x-none"/>
        </w:rPr>
        <w:t>uncertainties based on 100 mm waviness data.</w:t>
      </w:r>
      <w:r w:rsidRPr="001C7B92">
        <w:rPr>
          <w:lang w:eastAsia="x-none"/>
        </w:rPr>
        <w:t xml:space="preserve"> Measured harmonics vary little between z</w:t>
      </w:r>
      <w:r w:rsidR="0031462F" w:rsidRPr="001C7B92">
        <w:rPr>
          <w:lang w:eastAsia="x-none"/>
        </w:rPr>
        <w:t xml:space="preserve"> </w:t>
      </w:r>
      <w:r w:rsidRPr="001C7B92">
        <w:rPr>
          <w:lang w:eastAsia="x-none"/>
        </w:rPr>
        <w:t>=</w:t>
      </w:r>
      <w:r w:rsidR="0031462F" w:rsidRPr="001C7B92">
        <w:rPr>
          <w:lang w:eastAsia="x-none"/>
        </w:rPr>
        <w:t xml:space="preserve"> </w:t>
      </w:r>
      <w:r w:rsidRPr="001C7B92">
        <w:rPr>
          <w:lang w:eastAsia="x-none"/>
        </w:rPr>
        <w:t xml:space="preserve">-5 </w:t>
      </w:r>
      <w:r w:rsidR="0031462F" w:rsidRPr="001C7B92">
        <w:rPr>
          <w:lang w:eastAsia="x-none"/>
        </w:rPr>
        <w:t xml:space="preserve">mm </w:t>
      </w:r>
      <w:r w:rsidRPr="001C7B92">
        <w:rPr>
          <w:lang w:eastAsia="x-none"/>
        </w:rPr>
        <w:t>and z</w:t>
      </w:r>
      <w:r w:rsidR="0031462F" w:rsidRPr="001C7B92">
        <w:rPr>
          <w:lang w:eastAsia="x-none"/>
        </w:rPr>
        <w:t xml:space="preserve"> </w:t>
      </w:r>
      <w:r w:rsidRPr="001C7B92">
        <w:rPr>
          <w:lang w:eastAsia="x-none"/>
        </w:rPr>
        <w:t>=</w:t>
      </w:r>
      <w:r w:rsidR="0031462F" w:rsidRPr="001C7B92">
        <w:rPr>
          <w:lang w:eastAsia="x-none"/>
        </w:rPr>
        <w:t xml:space="preserve"> -</w:t>
      </w:r>
      <w:r w:rsidRPr="001C7B92">
        <w:rPr>
          <w:lang w:eastAsia="x-none"/>
        </w:rPr>
        <w:t xml:space="preserve">105 </w:t>
      </w:r>
      <w:r w:rsidR="0031462F" w:rsidRPr="001C7B92">
        <w:rPr>
          <w:lang w:eastAsia="x-none"/>
        </w:rPr>
        <w:t xml:space="preserve">mm </w:t>
      </w:r>
      <w:r w:rsidRPr="001C7B92">
        <w:rPr>
          <w:lang w:eastAsia="x-none"/>
        </w:rPr>
        <w:t xml:space="preserve">due to the smoothing, integral nature of the 100 mm rotating coil. The calculated field from single cross sections </w:t>
      </w:r>
      <w:r w:rsidR="00670F59" w:rsidRPr="001C7B92">
        <w:rPr>
          <w:lang w:eastAsia="x-none"/>
        </w:rPr>
        <w:t>vary much more.</w:t>
      </w:r>
    </w:p>
    <w:p w:rsidR="00862B8F" w:rsidRPr="001C7B92" w:rsidRDefault="002404E7" w:rsidP="0002387D">
      <w:pPr>
        <w:pStyle w:val="Text"/>
        <w:rPr>
          <w:lang w:eastAsia="x-none"/>
        </w:rPr>
      </w:pPr>
      <w:r w:rsidRPr="001C7B92">
        <w:rPr>
          <w:lang w:eastAsia="x-none"/>
        </w:rPr>
        <w:t>Large variability in a</w:t>
      </w:r>
      <w:r w:rsidRPr="001C7B92">
        <w:rPr>
          <w:vertAlign w:val="subscript"/>
          <w:lang w:eastAsia="x-none"/>
        </w:rPr>
        <w:t>4</w:t>
      </w:r>
      <w:r w:rsidRPr="001C7B92">
        <w:rPr>
          <w:lang w:eastAsia="x-none"/>
        </w:rPr>
        <w:t xml:space="preserve"> indicates that the reconstructed cross s</w:t>
      </w:r>
      <w:r w:rsidR="00A95DB8" w:rsidRPr="001C7B92">
        <w:rPr>
          <w:lang w:eastAsia="x-none"/>
        </w:rPr>
        <w:t xml:space="preserve">ections have some oblong </w:t>
      </w:r>
      <w:r w:rsidR="0065430C" w:rsidRPr="001C7B92">
        <w:rPr>
          <w:lang w:eastAsia="x-none"/>
        </w:rPr>
        <w:t>shape</w:t>
      </w:r>
      <w:r w:rsidR="00A95DB8" w:rsidRPr="001C7B92">
        <w:rPr>
          <w:lang w:eastAsia="x-none"/>
        </w:rPr>
        <w:t xml:space="preserve"> that usually is straightened with</w:t>
      </w:r>
      <w:r w:rsidR="00E472D5" w:rsidRPr="001C7B92">
        <w:rPr>
          <w:lang w:eastAsia="x-none"/>
        </w:rPr>
        <w:t xml:space="preserve"> the full magnet structure</w:t>
      </w:r>
      <w:r w:rsidR="0065430C" w:rsidRPr="001C7B92">
        <w:rPr>
          <w:lang w:eastAsia="x-none"/>
        </w:rPr>
        <w:t>. Thus a</w:t>
      </w:r>
      <w:r w:rsidR="0065430C" w:rsidRPr="001C7B92">
        <w:rPr>
          <w:vertAlign w:val="subscript"/>
          <w:lang w:eastAsia="x-none"/>
        </w:rPr>
        <w:t>4</w:t>
      </w:r>
      <w:r w:rsidR="0065430C" w:rsidRPr="001C7B92">
        <w:rPr>
          <w:lang w:eastAsia="x-none"/>
        </w:rPr>
        <w:t xml:space="preserve"> variability is expected. </w:t>
      </w:r>
      <w:r w:rsidR="00A95DB8" w:rsidRPr="001C7B92">
        <w:rPr>
          <w:lang w:eastAsia="x-none"/>
        </w:rPr>
        <w:t>The measured b</w:t>
      </w:r>
      <w:r w:rsidR="00A95DB8" w:rsidRPr="001C7B92">
        <w:rPr>
          <w:vertAlign w:val="subscript"/>
          <w:lang w:eastAsia="x-none"/>
        </w:rPr>
        <w:t>3</w:t>
      </w:r>
      <w:r w:rsidR="00A95DB8" w:rsidRPr="001C7B92">
        <w:rPr>
          <w:lang w:eastAsia="x-none"/>
        </w:rPr>
        <w:t xml:space="preserve"> harmonic is 4.1</w:t>
      </w:r>
      <w:r w:rsidR="00A95DB8" w:rsidRPr="001C7B92">
        <w:rPr>
          <w:rFonts w:ascii="Calibri" w:hAnsi="Calibri"/>
          <w:lang w:eastAsia="x-none"/>
        </w:rPr>
        <w:t>σ</w:t>
      </w:r>
      <w:r w:rsidR="00A95DB8" w:rsidRPr="001C7B92">
        <w:rPr>
          <w:lang w:eastAsia="x-none"/>
        </w:rPr>
        <w:t xml:space="preserve"> larger than the </w:t>
      </w:r>
      <w:r w:rsidR="00580D96" w:rsidRPr="001C7B92">
        <w:rPr>
          <w:lang w:eastAsia="x-none"/>
        </w:rPr>
        <w:t>reconstructed b</w:t>
      </w:r>
      <w:r w:rsidR="00580D96" w:rsidRPr="001C7B92">
        <w:rPr>
          <w:vertAlign w:val="subscript"/>
          <w:lang w:eastAsia="x-none"/>
        </w:rPr>
        <w:t>3</w:t>
      </w:r>
      <w:r w:rsidR="00580D96" w:rsidRPr="001C7B92">
        <w:rPr>
          <w:lang w:eastAsia="x-none"/>
        </w:rPr>
        <w:t xml:space="preserve"> calculated harmonic. This is consistent to t</w:t>
      </w:r>
      <w:r w:rsidR="003915E3" w:rsidRPr="001C7B92">
        <w:rPr>
          <w:lang w:eastAsia="x-none"/>
        </w:rPr>
        <w:t xml:space="preserve">he </w:t>
      </w:r>
      <w:r w:rsidR="003915E3" w:rsidRPr="001C7B92">
        <w:rPr>
          <w:lang w:eastAsia="x-none"/>
        </w:rPr>
        <w:lastRenderedPageBreak/>
        <w:t>conclusion from RMS harmonic analysis.</w:t>
      </w:r>
      <w:r w:rsidR="00580D96" w:rsidRPr="001C7B92">
        <w:rPr>
          <w:lang w:eastAsia="x-none"/>
        </w:rPr>
        <w:t xml:space="preserve"> </w:t>
      </w:r>
      <w:r w:rsidR="003915E3" w:rsidRPr="001C7B92">
        <w:rPr>
          <w:lang w:eastAsia="x-none"/>
        </w:rPr>
        <w:t>The large disagreement between measurement and calculation for b</w:t>
      </w:r>
      <w:r w:rsidR="003915E3" w:rsidRPr="001C7B92">
        <w:rPr>
          <w:vertAlign w:val="subscript"/>
          <w:lang w:eastAsia="x-none"/>
        </w:rPr>
        <w:t>3</w:t>
      </w:r>
      <w:r w:rsidR="003915E3" w:rsidRPr="001C7B92">
        <w:rPr>
          <w:lang w:eastAsia="x-none"/>
        </w:rPr>
        <w:t xml:space="preserve"> indicates that either the combined uncertainty of turn measurement, loaded coil position, and measured harmonics is significantly larger than supposed or the b</w:t>
      </w:r>
      <w:r w:rsidR="003915E3" w:rsidRPr="001C7B92">
        <w:rPr>
          <w:vertAlign w:val="subscript"/>
          <w:lang w:eastAsia="x-none"/>
        </w:rPr>
        <w:t>3</w:t>
      </w:r>
      <w:r w:rsidR="003915E3" w:rsidRPr="001C7B92">
        <w:rPr>
          <w:lang w:eastAsia="x-none"/>
        </w:rPr>
        <w:t xml:space="preserve"> harmonic is originating ou</w:t>
      </w:r>
      <w:r w:rsidR="0025198E" w:rsidRPr="001C7B92">
        <w:rPr>
          <w:lang w:eastAsia="x-none"/>
        </w:rPr>
        <w:t>t</w:t>
      </w:r>
      <w:r w:rsidR="003915E3" w:rsidRPr="001C7B92">
        <w:rPr>
          <w:lang w:eastAsia="x-none"/>
        </w:rPr>
        <w:t xml:space="preserve">side the coils of HQ02. </w:t>
      </w:r>
      <w:r w:rsidR="0065430C" w:rsidRPr="001C7B92">
        <w:rPr>
          <w:lang w:eastAsia="x-none"/>
        </w:rPr>
        <w:t>All other harmonics such as a</w:t>
      </w:r>
      <w:r w:rsidR="0065430C" w:rsidRPr="001C7B92">
        <w:rPr>
          <w:vertAlign w:val="subscript"/>
          <w:lang w:eastAsia="x-none"/>
        </w:rPr>
        <w:t>3</w:t>
      </w:r>
      <w:r w:rsidR="0065430C" w:rsidRPr="001C7B92">
        <w:rPr>
          <w:lang w:eastAsia="x-none"/>
        </w:rPr>
        <w:t xml:space="preserve"> and b</w:t>
      </w:r>
      <w:r w:rsidR="0065430C" w:rsidRPr="001C7B92">
        <w:rPr>
          <w:vertAlign w:val="subscript"/>
          <w:lang w:eastAsia="x-none"/>
        </w:rPr>
        <w:t>4</w:t>
      </w:r>
      <w:r w:rsidR="0065430C" w:rsidRPr="001C7B92">
        <w:rPr>
          <w:lang w:eastAsia="x-none"/>
        </w:rPr>
        <w:t xml:space="preserve"> are in good agreement between measurement and calculation. </w:t>
      </w:r>
    </w:p>
    <w:p w:rsidR="00862B8F" w:rsidRPr="001C7B92" w:rsidRDefault="00E472D5" w:rsidP="00E472D5">
      <w:pPr>
        <w:pStyle w:val="Heading1"/>
      </w:pPr>
      <w:r w:rsidRPr="001C7B92">
        <w:t>Conclusion</w:t>
      </w:r>
    </w:p>
    <w:p w:rsidR="00685D3A" w:rsidRPr="001C7B92" w:rsidRDefault="00E472D5" w:rsidP="00685D3A">
      <w:pPr>
        <w:pStyle w:val="Text"/>
      </w:pPr>
      <w:r w:rsidRPr="001C7B92">
        <w:rPr>
          <w:lang w:eastAsia="x-none"/>
        </w:rPr>
        <w:t>Turn locations were measured at several cross sections of HQ02 by a coordinat</w:t>
      </w:r>
      <w:r w:rsidR="00580D96" w:rsidRPr="001C7B92">
        <w:rPr>
          <w:lang w:eastAsia="x-none"/>
        </w:rPr>
        <w:t xml:space="preserve">e measuring optical comparator. </w:t>
      </w:r>
      <w:r w:rsidR="0083423F" w:rsidRPr="001C7B92">
        <w:rPr>
          <w:lang w:eastAsia="x-none"/>
        </w:rPr>
        <w:t xml:space="preserve">Conductor RMS </w:t>
      </w:r>
      <w:r w:rsidR="00685D3A" w:rsidRPr="001C7B92">
        <w:rPr>
          <w:lang w:eastAsia="x-none"/>
        </w:rPr>
        <w:t>displacement</w:t>
      </w:r>
      <w:r w:rsidR="0083423F" w:rsidRPr="001C7B92">
        <w:rPr>
          <w:lang w:eastAsia="x-none"/>
        </w:rPr>
        <w:t xml:space="preserve"> and waviness correlate well with RMS harmonics. </w:t>
      </w:r>
      <w:r w:rsidRPr="001C7B92">
        <w:rPr>
          <w:lang w:eastAsia="x-none"/>
        </w:rPr>
        <w:t xml:space="preserve">The </w:t>
      </w:r>
      <w:r w:rsidR="00685D3A" w:rsidRPr="001C7B92">
        <w:rPr>
          <w:lang w:eastAsia="x-none"/>
        </w:rPr>
        <w:t xml:space="preserve">agreement between </w:t>
      </w:r>
      <w:r w:rsidRPr="001C7B92">
        <w:rPr>
          <w:lang w:eastAsia="x-none"/>
        </w:rPr>
        <w:t xml:space="preserve">full </w:t>
      </w:r>
      <w:r w:rsidR="00685D3A" w:rsidRPr="001C7B92">
        <w:rPr>
          <w:lang w:eastAsia="x-none"/>
        </w:rPr>
        <w:t xml:space="preserve">reconstructed </w:t>
      </w:r>
      <w:r w:rsidRPr="001C7B92">
        <w:rPr>
          <w:lang w:eastAsia="x-none"/>
        </w:rPr>
        <w:t>magnet cross section</w:t>
      </w:r>
      <w:r w:rsidR="00685D3A" w:rsidRPr="001C7B92">
        <w:rPr>
          <w:lang w:eastAsia="x-none"/>
        </w:rPr>
        <w:t>s</w:t>
      </w:r>
      <w:r w:rsidRPr="001C7B92">
        <w:rPr>
          <w:lang w:eastAsia="x-none"/>
        </w:rPr>
        <w:t xml:space="preserve"> and actual measured harmonics is </w:t>
      </w:r>
      <w:r w:rsidR="0083423F" w:rsidRPr="001C7B92">
        <w:rPr>
          <w:lang w:eastAsia="x-none"/>
        </w:rPr>
        <w:t>not as strong. This is</w:t>
      </w:r>
      <w:r w:rsidRPr="001C7B92">
        <w:rPr>
          <w:lang w:eastAsia="x-none"/>
        </w:rPr>
        <w:t xml:space="preserve"> partly due to the measured harmonics being an average based on the length of the harmonic probe while the cross section is a point li</w:t>
      </w:r>
      <w:r w:rsidR="0083423F" w:rsidRPr="001C7B92">
        <w:rPr>
          <w:lang w:eastAsia="x-none"/>
        </w:rPr>
        <w:t>ke assessment of turn position. The large b</w:t>
      </w:r>
      <w:r w:rsidR="0083423F" w:rsidRPr="001C7B92">
        <w:rPr>
          <w:vertAlign w:val="subscript"/>
          <w:lang w:eastAsia="x-none"/>
        </w:rPr>
        <w:t>3</w:t>
      </w:r>
      <w:r w:rsidR="0083423F" w:rsidRPr="001C7B92">
        <w:rPr>
          <w:lang w:eastAsia="x-none"/>
        </w:rPr>
        <w:t xml:space="preserve"> harmonic is significantly larger than both RMS </w:t>
      </w:r>
      <w:r w:rsidR="00685D3A" w:rsidRPr="001C7B92">
        <w:rPr>
          <w:lang w:eastAsia="x-none"/>
        </w:rPr>
        <w:t xml:space="preserve">conductor </w:t>
      </w:r>
      <w:r w:rsidR="0083423F" w:rsidRPr="001C7B92">
        <w:rPr>
          <w:lang w:eastAsia="x-none"/>
        </w:rPr>
        <w:t>displacements and reconstructe</w:t>
      </w:r>
      <w:r w:rsidR="00A80417" w:rsidRPr="001C7B92">
        <w:rPr>
          <w:lang w:eastAsia="x-none"/>
        </w:rPr>
        <w:t>d magnet cross sections suggest implying other sources of error in turn measurement or the particular harmonic originates</w:t>
      </w:r>
      <w:r w:rsidR="0083423F" w:rsidRPr="001C7B92">
        <w:rPr>
          <w:lang w:eastAsia="x-none"/>
        </w:rPr>
        <w:t xml:space="preserve"> outside </w:t>
      </w:r>
      <w:r w:rsidR="00685D3A" w:rsidRPr="001C7B92">
        <w:rPr>
          <w:lang w:eastAsia="x-none"/>
        </w:rPr>
        <w:t>the coil</w:t>
      </w:r>
      <w:r w:rsidR="00A80417" w:rsidRPr="001C7B92">
        <w:rPr>
          <w:lang w:eastAsia="x-none"/>
        </w:rPr>
        <w:t>s</w:t>
      </w:r>
      <w:r w:rsidR="00685D3A" w:rsidRPr="001C7B92">
        <w:rPr>
          <w:lang w:eastAsia="x-none"/>
        </w:rPr>
        <w:t>.</w:t>
      </w:r>
      <w:r w:rsidR="00A80417" w:rsidRPr="001C7B92">
        <w:rPr>
          <w:lang w:eastAsia="x-none"/>
        </w:rPr>
        <w:t xml:space="preserve"> The agreement for all other harmonics is good.</w:t>
      </w:r>
    </w:p>
    <w:p w:rsidR="00685D3A" w:rsidRPr="001C7B92" w:rsidRDefault="00685D3A" w:rsidP="00685D3A">
      <w:pPr>
        <w:pStyle w:val="ReferenceHead"/>
      </w:pPr>
      <w:r w:rsidRPr="001C7B92">
        <w:t>Acknowledgment</w:t>
      </w:r>
    </w:p>
    <w:p w:rsidR="00141FE2" w:rsidRPr="001C7B92" w:rsidRDefault="00685D3A" w:rsidP="00685D3A">
      <w:pPr>
        <w:pStyle w:val="Text"/>
      </w:pPr>
      <w:r w:rsidRPr="001C7B92">
        <w:t>The authors would like to thank Jose Duran, Ethan Sprague, and DJ Warren for help with data collection and discussion. The author would also like to thank the QC department at Fermila</w:t>
      </w:r>
      <w:r w:rsidR="00AB021A" w:rsidRPr="001C7B92">
        <w:t>b for the use of the optical c</w:t>
      </w:r>
      <w:r w:rsidRPr="001C7B92">
        <w:t xml:space="preserve">omparator. </w:t>
      </w:r>
    </w:p>
    <w:p w:rsidR="00141FE2" w:rsidRPr="001C7B92" w:rsidRDefault="00141FE2" w:rsidP="00141FE2">
      <w:pPr>
        <w:pStyle w:val="ReferenceHead"/>
      </w:pPr>
      <w:r w:rsidRPr="001C7B92">
        <w:t>References</w:t>
      </w:r>
    </w:p>
    <w:p w:rsidR="00231E93" w:rsidRPr="001C7B92" w:rsidRDefault="0055448E" w:rsidP="00231E93">
      <w:pPr>
        <w:pStyle w:val="References"/>
      </w:pPr>
      <w:r w:rsidRPr="001C7B92">
        <w:t xml:space="preserve"> </w:t>
      </w:r>
      <w:r w:rsidR="00231E93" w:rsidRPr="001C7B92">
        <w:t>“HL-LHC Preliminary Design Report”, CERN-ACC-2014-0300, 28 November 2014.</w:t>
      </w:r>
    </w:p>
    <w:p w:rsidR="0055448E" w:rsidRPr="001C7B92" w:rsidRDefault="0055448E" w:rsidP="0055448E">
      <w:pPr>
        <w:pStyle w:val="References"/>
      </w:pPr>
      <w:r w:rsidRPr="001C7B92">
        <w:t xml:space="preserve">E. Todesco, </w:t>
      </w:r>
      <w:r w:rsidRPr="001C7B92">
        <w:rPr>
          <w:i/>
        </w:rPr>
        <w:t>et al</w:t>
      </w:r>
      <w:r w:rsidRPr="001C7B92">
        <w:t xml:space="preserve">., “Design studies for the low-beta quadrupoles for the LHC luminosity upgrade,” </w:t>
      </w:r>
      <w:r w:rsidRPr="001C7B92">
        <w:rPr>
          <w:i/>
        </w:rPr>
        <w:t>IEEE Trans. App. Supercond</w:t>
      </w:r>
      <w:r w:rsidRPr="001C7B92">
        <w:t>., vol. 23, no. 3, p. 4003305, June 2013.</w:t>
      </w:r>
    </w:p>
    <w:p w:rsidR="007663EC" w:rsidRPr="001C7B92" w:rsidRDefault="007663EC" w:rsidP="007663EC">
      <w:pPr>
        <w:pStyle w:val="References"/>
      </w:pPr>
      <w:r w:rsidRPr="001C7B92">
        <w:t xml:space="preserve">W. Scandale </w:t>
      </w:r>
      <w:r w:rsidRPr="001C7B92">
        <w:rPr>
          <w:i/>
        </w:rPr>
        <w:t>et al</w:t>
      </w:r>
      <w:r w:rsidRPr="001C7B92">
        <w:t xml:space="preserve">., "Influence of Mechanical Tolerances on Field Quality in the LHC Main Dipoles," </w:t>
      </w:r>
      <w:r w:rsidRPr="001C7B92">
        <w:rPr>
          <w:i/>
        </w:rPr>
        <w:t>IEEE Trans. App. Supercond</w:t>
      </w:r>
      <w:r w:rsidRPr="001C7B92">
        <w:t>, vol. 10, no. 1, pp. 73-76, March 2000.</w:t>
      </w:r>
    </w:p>
    <w:p w:rsidR="007663EC" w:rsidRPr="001C7B92" w:rsidRDefault="007663EC" w:rsidP="007663EC">
      <w:pPr>
        <w:pStyle w:val="References"/>
      </w:pPr>
      <w:r w:rsidRPr="001C7B92">
        <w:t xml:space="preserve">P. Ferracin, </w:t>
      </w:r>
      <w:r w:rsidRPr="001C7B92">
        <w:rPr>
          <w:i/>
        </w:rPr>
        <w:t>et al.</w:t>
      </w:r>
      <w:r w:rsidRPr="001C7B92">
        <w:t xml:space="preserve">, “Azimuthal coil size and field quality in the main CERN Large Hadron Collider dipoles,” </w:t>
      </w:r>
      <w:r w:rsidRPr="001C7B92">
        <w:rPr>
          <w:i/>
        </w:rPr>
        <w:t>Phys. Rev. ST Accel. Beams</w:t>
      </w:r>
      <w:r w:rsidRPr="001C7B92">
        <w:t xml:space="preserve"> vol. 5, 062401, June 2002.</w:t>
      </w:r>
    </w:p>
    <w:p w:rsidR="007663EC" w:rsidRPr="001C7B92" w:rsidRDefault="007663EC" w:rsidP="007663EC">
      <w:pPr>
        <w:pStyle w:val="References"/>
      </w:pPr>
      <w:r w:rsidRPr="001C7B92">
        <w:t xml:space="preserve">P. Ferracin, </w:t>
      </w:r>
      <w:r w:rsidRPr="001C7B92">
        <w:rPr>
          <w:i/>
        </w:rPr>
        <w:t>et al.</w:t>
      </w:r>
      <w:r w:rsidRPr="001C7B92">
        <w:t xml:space="preserve">, “Modeling of random geometric errors in superconducting magnets with applications to the CERN Large Hadron Collider,” </w:t>
      </w:r>
      <w:r w:rsidRPr="001C7B92">
        <w:rPr>
          <w:i/>
        </w:rPr>
        <w:t>Phys. Rev. ST Accel. Beams</w:t>
      </w:r>
      <w:r w:rsidRPr="001C7B92">
        <w:t xml:space="preserve"> vol. 3, 122403, December 2000.</w:t>
      </w:r>
    </w:p>
    <w:p w:rsidR="007663EC" w:rsidRPr="001C7B92" w:rsidRDefault="007663EC" w:rsidP="007663EC">
      <w:pPr>
        <w:pStyle w:val="References"/>
      </w:pPr>
      <w:r w:rsidRPr="001C7B92">
        <w:t xml:space="preserve">B. Bellesia, </w:t>
      </w:r>
      <w:r w:rsidRPr="001C7B92">
        <w:rPr>
          <w:i/>
        </w:rPr>
        <w:t>et al.</w:t>
      </w:r>
      <w:r w:rsidRPr="001C7B92">
        <w:t>, “Field quality in low-</w:t>
      </w:r>
      <w:r w:rsidRPr="001C7B92">
        <w:rPr>
          <w:rFonts w:ascii="Calibri" w:hAnsi="Calibri"/>
        </w:rPr>
        <w:t>β</w:t>
      </w:r>
      <w:r w:rsidRPr="001C7B92">
        <w:t xml:space="preserve"> superconducting quadrupoles and impact on the beam dynamics for the Large Hadron Collider upgrade,” </w:t>
      </w:r>
      <w:r w:rsidRPr="001C7B92">
        <w:rPr>
          <w:i/>
        </w:rPr>
        <w:t>Phys. Rev. ST Accel. Beams</w:t>
      </w:r>
      <w:r w:rsidRPr="001C7B92">
        <w:t xml:space="preserve"> vol. 10, 062401, June 2007.</w:t>
      </w:r>
    </w:p>
    <w:p w:rsidR="007663EC" w:rsidRPr="001C7B92" w:rsidRDefault="007663EC" w:rsidP="007663EC">
      <w:pPr>
        <w:pStyle w:val="References"/>
      </w:pPr>
      <w:r w:rsidRPr="001C7B92">
        <w:t xml:space="preserve">F. Borgnolutti </w:t>
      </w:r>
      <w:r w:rsidRPr="001C7B92">
        <w:rPr>
          <w:i/>
        </w:rPr>
        <w:t>et al</w:t>
      </w:r>
      <w:r w:rsidRPr="001C7B92">
        <w:t>., " Reproducibility of the Coil Positioning in Nb</w:t>
      </w:r>
      <w:r w:rsidRPr="001C7B92">
        <w:rPr>
          <w:vertAlign w:val="subscript"/>
        </w:rPr>
        <w:t>3</w:t>
      </w:r>
      <w:r w:rsidRPr="001C7B92">
        <w:t xml:space="preserve">Sn Magnet Models Through Magnetic Measurements," </w:t>
      </w:r>
      <w:r w:rsidRPr="001C7B92">
        <w:rPr>
          <w:i/>
        </w:rPr>
        <w:t>IEEE Trans. App. Supercond</w:t>
      </w:r>
      <w:r w:rsidRPr="001C7B92">
        <w:t>, vol. 19, no. 3, pp. 1100-1105, July 2009.</w:t>
      </w:r>
    </w:p>
    <w:p w:rsidR="007663EC" w:rsidRPr="001C7B92" w:rsidRDefault="007663EC" w:rsidP="007663EC">
      <w:pPr>
        <w:pStyle w:val="References"/>
        <w:rPr>
          <w:rStyle w:val="Hyperlink"/>
          <w:color w:val="auto"/>
          <w:u w:val="none"/>
        </w:rPr>
      </w:pPr>
      <w:r w:rsidRPr="001C7B92">
        <w:t xml:space="preserve">Original LARP Proposal, 2003, </w:t>
      </w:r>
      <w:hyperlink r:id="rId24" w:history="1">
        <w:r w:rsidRPr="001C7B92">
          <w:rPr>
            <w:rStyle w:val="Hyperlink"/>
            <w:color w:val="auto"/>
          </w:rPr>
          <w:t>http://www.uslarp.org/LARP_Proposal.pdf</w:t>
        </w:r>
      </w:hyperlink>
    </w:p>
    <w:p w:rsidR="00231E93" w:rsidRPr="001C7B92" w:rsidRDefault="00231E93" w:rsidP="00231E93">
      <w:pPr>
        <w:pStyle w:val="References"/>
      </w:pPr>
      <w:r w:rsidRPr="001C7B92">
        <w:t xml:space="preserve">F. Borgnolutti, </w:t>
      </w:r>
      <w:r w:rsidRPr="001C7B92">
        <w:rPr>
          <w:i/>
        </w:rPr>
        <w:t>et al</w:t>
      </w:r>
      <w:r w:rsidRPr="001C7B92">
        <w:t>., “Fabrication of a Second-Generation of Nb</w:t>
      </w:r>
      <w:r w:rsidRPr="001C7B92">
        <w:rPr>
          <w:vertAlign w:val="subscript"/>
        </w:rPr>
        <w:t>3</w:t>
      </w:r>
      <w:r w:rsidRPr="001C7B92">
        <w:t>Sn Coils for the LARP HQ02 Quadrupole Magnet,”</w:t>
      </w:r>
      <w:r w:rsidRPr="001C7B92">
        <w:rPr>
          <w:rFonts w:ascii="Times-Roman" w:hAnsi="Times-Roman" w:cs="Times-Roman"/>
          <w:sz w:val="14"/>
          <w:szCs w:val="14"/>
          <w:lang w:val="en-GB" w:eastAsia="en-GB"/>
        </w:rPr>
        <w:t xml:space="preserve"> </w:t>
      </w:r>
      <w:r w:rsidRPr="001C7B92">
        <w:rPr>
          <w:i/>
        </w:rPr>
        <w:t>IEEE Trans. App. Supercond.</w:t>
      </w:r>
      <w:r w:rsidRPr="001C7B92">
        <w:t>, vol. 24, no. 3, p. 4003005, June 2014.</w:t>
      </w:r>
    </w:p>
    <w:p w:rsidR="00231E93" w:rsidRPr="001C7B92" w:rsidRDefault="00231E93" w:rsidP="00231E93">
      <w:pPr>
        <w:pStyle w:val="References"/>
      </w:pPr>
      <w:r w:rsidRPr="001C7B92">
        <w:t xml:space="preserve">G. Chlachidze, </w:t>
      </w:r>
      <w:r w:rsidRPr="001C7B92">
        <w:rPr>
          <w:i/>
        </w:rPr>
        <w:t>et al</w:t>
      </w:r>
      <w:r w:rsidRPr="001C7B92">
        <w:t>., “Performance of HQ02, an Optimized Version of the 120 mm  Nb</w:t>
      </w:r>
      <w:r w:rsidRPr="001C7B92">
        <w:rPr>
          <w:vertAlign w:val="subscript"/>
        </w:rPr>
        <w:t>3</w:t>
      </w:r>
      <w:r w:rsidRPr="001C7B92">
        <w:t>Sn LARP Quadrupole”,</w:t>
      </w:r>
      <w:r w:rsidRPr="001C7B92">
        <w:rPr>
          <w:rFonts w:ascii="Times-Roman" w:hAnsi="Times-Roman" w:cs="Times-Roman"/>
          <w:sz w:val="14"/>
          <w:szCs w:val="14"/>
          <w:lang w:val="en-GB" w:eastAsia="en-GB"/>
        </w:rPr>
        <w:t xml:space="preserve"> </w:t>
      </w:r>
      <w:r w:rsidRPr="001C7B92">
        <w:rPr>
          <w:i/>
        </w:rPr>
        <w:t>IEEE Trans. App. Supercond.</w:t>
      </w:r>
      <w:r w:rsidRPr="001C7B92">
        <w:t>, vol. 24, no. 3, pp.1-5, June 2014.</w:t>
      </w:r>
    </w:p>
    <w:p w:rsidR="00862B8F" w:rsidRDefault="00231E93" w:rsidP="00862B8F">
      <w:pPr>
        <w:pStyle w:val="References"/>
      </w:pPr>
      <w:r>
        <w:t xml:space="preserve">S. Caspi, </w:t>
      </w:r>
      <w:r w:rsidRPr="00AD54E3">
        <w:rPr>
          <w:i/>
        </w:rPr>
        <w:t>et al.</w:t>
      </w:r>
      <w:r>
        <w:t xml:space="preserve">, “Design of a 120 mm Bore 15 T Quadrupole for the LHC Upgrade Phase II,” </w:t>
      </w:r>
      <w:r w:rsidRPr="00AD54E3">
        <w:rPr>
          <w:i/>
        </w:rPr>
        <w:t>IEEE Trans. Appl. Supercond</w:t>
      </w:r>
      <w:r>
        <w:t>., vol. 20, no. 3, pp. 144­147, June 2010.</w:t>
      </w:r>
    </w:p>
    <w:p w:rsidR="00231E93" w:rsidRDefault="00231E93" w:rsidP="00862B8F">
      <w:pPr>
        <w:pStyle w:val="References"/>
      </w:pPr>
      <w:r w:rsidRPr="00231E93">
        <w:t xml:space="preserve">J. DiMarco, </w:t>
      </w:r>
      <w:r w:rsidRPr="00862B8F">
        <w:rPr>
          <w:i/>
        </w:rPr>
        <w:t>et al</w:t>
      </w:r>
      <w:r w:rsidRPr="00231E93">
        <w:t xml:space="preserve">., “Field Quality Measurements of LARP Nb3Sn Magnet HQ02,” </w:t>
      </w:r>
      <w:r w:rsidRPr="00862B8F">
        <w:rPr>
          <w:i/>
        </w:rPr>
        <w:t>IEEE Trans. App. Supercond</w:t>
      </w:r>
      <w:r w:rsidRPr="00231E93">
        <w:t>., vol.  24, no. 3, p4003905, June 2014.</w:t>
      </w:r>
    </w:p>
    <w:p w:rsidR="00231E93" w:rsidRDefault="00231E93" w:rsidP="00231E93">
      <w:pPr>
        <w:pStyle w:val="References"/>
      </w:pPr>
      <w:r>
        <w:t>H. Bajas</w:t>
      </w:r>
      <w:r w:rsidRPr="004B7810">
        <w:t xml:space="preserve">, </w:t>
      </w:r>
      <w:r w:rsidRPr="00493563">
        <w:rPr>
          <w:i/>
        </w:rPr>
        <w:t>et al</w:t>
      </w:r>
      <w:r w:rsidRPr="004B7810">
        <w:t>., “</w:t>
      </w:r>
      <w:r w:rsidRPr="00493563">
        <w:t>Test Results of the LARP HQ02b Magnet at 1.9 K</w:t>
      </w:r>
      <w:r>
        <w:t>,”</w:t>
      </w:r>
      <w:r w:rsidRPr="00493563">
        <w:rPr>
          <w:rFonts w:ascii="Times-Roman" w:hAnsi="Times-Roman" w:cs="Times-Roman"/>
          <w:sz w:val="14"/>
          <w:szCs w:val="14"/>
          <w:lang w:val="en-GB" w:eastAsia="en-GB"/>
        </w:rPr>
        <w:t xml:space="preserve"> </w:t>
      </w:r>
      <w:r w:rsidRPr="00493563">
        <w:rPr>
          <w:i/>
        </w:rPr>
        <w:t>IEEE Trans. App. Supercond.</w:t>
      </w:r>
      <w:r>
        <w:t xml:space="preserve">, </w:t>
      </w:r>
      <w:r w:rsidRPr="00CE70E2">
        <w:t>vol.</w:t>
      </w:r>
      <w:r>
        <w:t xml:space="preserve"> 2</w:t>
      </w:r>
      <w:r w:rsidRPr="00CE70E2">
        <w:t>4, no.</w:t>
      </w:r>
      <w:r>
        <w:t xml:space="preserve"> </w:t>
      </w:r>
      <w:r w:rsidRPr="00CE70E2">
        <w:t>3, pp.1-5, June 2014</w:t>
      </w:r>
      <w:r>
        <w:t>.</w:t>
      </w:r>
    </w:p>
    <w:p w:rsidR="00231E93" w:rsidRDefault="00231E93" w:rsidP="00231E93">
      <w:pPr>
        <w:pStyle w:val="References"/>
      </w:pPr>
      <w:r>
        <w:t>E.</w:t>
      </w:r>
      <w:r w:rsidRPr="00E2721D">
        <w:t xml:space="preserve">F. Holik </w:t>
      </w:r>
      <w:r w:rsidRPr="00714957">
        <w:rPr>
          <w:i/>
        </w:rPr>
        <w:t>et al</w:t>
      </w:r>
      <w:r w:rsidRPr="00E2721D">
        <w:t>., "Fabrication and Analysis of 150-mm-Aperture Nb</w:t>
      </w:r>
      <w:r w:rsidRPr="00714957">
        <w:rPr>
          <w:vertAlign w:val="subscript"/>
        </w:rPr>
        <w:t>3</w:t>
      </w:r>
      <w:r w:rsidRPr="00E2721D">
        <w:t xml:space="preserve">Sn MQXF Coils," </w:t>
      </w:r>
      <w:r w:rsidRPr="00C779FE">
        <w:rPr>
          <w:i/>
        </w:rPr>
        <w:t>IEEE Trans. App. Supercond</w:t>
      </w:r>
      <w:r w:rsidRPr="00E2721D">
        <w:t>, vol. 26, no. 4, pp. 1-7, June 2016.</w:t>
      </w:r>
    </w:p>
    <w:p w:rsidR="00231E93" w:rsidRDefault="00F261E2" w:rsidP="00231E93">
      <w:pPr>
        <w:pStyle w:val="References"/>
      </w:pPr>
      <w:r>
        <w:rPr>
          <w:noProof/>
        </w:rPr>
        <w:pict>
          <v:shape id="Text Box 60" o:spid="_x0000_s1045" type="#_x0000_t202" style="position:absolute;left:0;text-align:left;margin-left:123.6pt;margin-top:492.25pt;width:230.4pt;height:273.6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ZIGuwIAAMI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" filled="f" stroked="f">
            <v:textbox style="mso-next-textbox:#Text Box 60">
              <w:txbxContent>
                <w:p w:rsidR="007F1CD8" w:rsidRPr="005A4A6C" w:rsidRDefault="007F1CD8" w:rsidP="00231E93">
                  <w:pPr>
                    <w:rPr>
                      <w:color w:val="FF0000"/>
                      <w:sz w:val="28"/>
                    </w:rPr>
                  </w:pPr>
                </w:p>
              </w:txbxContent>
            </v:textbox>
          </v:shape>
        </w:pict>
      </w:r>
      <w:r w:rsidR="00231E93">
        <w:t>F. Borgnolutti</w:t>
      </w:r>
      <w:r w:rsidR="00231E93" w:rsidRPr="004B7810">
        <w:t xml:space="preserve">, </w:t>
      </w:r>
      <w:r w:rsidR="00231E93" w:rsidRPr="00065C1E">
        <w:rPr>
          <w:i/>
        </w:rPr>
        <w:t>et al</w:t>
      </w:r>
      <w:r w:rsidR="00231E93" w:rsidRPr="004B7810">
        <w:t>., “</w:t>
      </w:r>
      <w:r w:rsidR="00231E93">
        <w:t>Fa</w:t>
      </w:r>
      <w:r w:rsidR="00231E93" w:rsidRPr="00065C1E">
        <w:t xml:space="preserve">brication of </w:t>
      </w:r>
      <w:r w:rsidR="00231E93">
        <w:t>a Third Generation of</w:t>
      </w:r>
      <w:r w:rsidR="00231E93" w:rsidRPr="00065C1E">
        <w:t xml:space="preserve"> </w:t>
      </w:r>
      <w:r w:rsidR="00231E93">
        <w:t>Nb</w:t>
      </w:r>
      <w:r w:rsidR="00231E93" w:rsidRPr="00065C1E">
        <w:rPr>
          <w:vertAlign w:val="subscript"/>
        </w:rPr>
        <w:t>3</w:t>
      </w:r>
      <w:r w:rsidR="00231E93">
        <w:t>Sn</w:t>
      </w:r>
      <w:r w:rsidR="00231E93" w:rsidRPr="00065C1E">
        <w:t xml:space="preserve"> Coils for the LARP HQ03 Quadrupole Magnet</w:t>
      </w:r>
      <w:r w:rsidR="00231E93">
        <w:t>,”</w:t>
      </w:r>
      <w:r w:rsidR="00231E93" w:rsidRPr="00065C1E">
        <w:rPr>
          <w:rFonts w:ascii="Times-Roman" w:hAnsi="Times-Roman" w:cs="Times-Roman"/>
          <w:sz w:val="14"/>
          <w:szCs w:val="14"/>
          <w:lang w:val="en-GB" w:eastAsia="en-GB"/>
        </w:rPr>
        <w:t xml:space="preserve"> </w:t>
      </w:r>
      <w:r w:rsidR="00231E93" w:rsidRPr="00065C1E">
        <w:rPr>
          <w:i/>
        </w:rPr>
        <w:t>IEEE Trans. App. Supercond.</w:t>
      </w:r>
      <w:r w:rsidR="00231E93">
        <w:t xml:space="preserve">, </w:t>
      </w:r>
      <w:r w:rsidR="00231E93" w:rsidRPr="00065C1E">
        <w:t>vol.</w:t>
      </w:r>
      <w:r w:rsidR="00231E93">
        <w:t xml:space="preserve"> </w:t>
      </w:r>
      <w:r w:rsidR="00231E93" w:rsidRPr="00065C1E">
        <w:t>24, no.</w:t>
      </w:r>
      <w:r w:rsidR="00231E93">
        <w:t xml:space="preserve"> </w:t>
      </w:r>
      <w:r w:rsidR="00231E93" w:rsidRPr="00065C1E">
        <w:t>3, p</w:t>
      </w:r>
      <w:r w:rsidR="00231E93">
        <w:t>. 4002505</w:t>
      </w:r>
      <w:r w:rsidR="00231E93" w:rsidRPr="00065C1E">
        <w:t>, June 2014</w:t>
      </w:r>
      <w:r w:rsidR="00231E93">
        <w:t>.</w:t>
      </w:r>
    </w:p>
    <w:p w:rsidR="00632DB0" w:rsidRDefault="00231E93" w:rsidP="007F1CD8">
      <w:pPr>
        <w:pStyle w:val="References"/>
      </w:pPr>
      <w:r w:rsidRPr="00231E93">
        <w:t xml:space="preserve">I. Rodriguez and J.L. Munoz, “Benchmark of COMSOL vs. ROXIE Codes for the Calculation of a Particle Accelerator Quadrupole,” Excerpt from the Proceedings of the 2011 COMSOL Converence3 in Stuttgart, </w:t>
      </w:r>
      <w:hyperlink r:id="rId25" w:history="1">
        <w:r w:rsidRPr="00982862">
          <w:rPr>
            <w:rStyle w:val="Hyperlink"/>
          </w:rPr>
          <w:t>https://www.comsol.com/paper/download/83731/rodriguez_paper.pdf</w:t>
        </w:r>
      </w:hyperlink>
      <w:r>
        <w:t xml:space="preserve"> </w:t>
      </w:r>
      <w:r w:rsidRPr="00231E93">
        <w:t xml:space="preserve"> Downloaded August 2016.</w:t>
      </w:r>
      <w:r w:rsidR="007F1CD8">
        <w:t>-</w:t>
      </w:r>
    </w:p>
    <w:sectPr w:rsidR="00632DB0" w:rsidSect="0049315A">
      <w:headerReference w:type="even" r:id="rId26"/>
      <w:type w:val="continuous"/>
      <w:pgSz w:w="12240" w:h="15840" w:code="1"/>
      <w:pgMar w:top="1008" w:right="936" w:bottom="1008" w:left="936" w:header="432" w:footer="432" w:gutter="0"/>
      <w:cols w:num="2" w:space="28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61E2" w:rsidRDefault="00F261E2" w:rsidP="00141FE2">
      <w:r>
        <w:separator/>
      </w:r>
    </w:p>
  </w:endnote>
  <w:endnote w:type="continuationSeparator" w:id="0">
    <w:p w:rsidR="00F261E2" w:rsidRDefault="00F261E2" w:rsidP="00141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embedRegular r:id="rId1" w:subsetted="1" w:fontKey="{ABC29AC6-DD23-4D0B-8094-A3CDED6FCA8D}"/>
    <w:embedItalic r:id="rId2" w:subsetted="1" w:fontKey="{08DB4E30-3FC1-404F-9858-DCC5ED87AA59}"/>
  </w:font>
  <w:font w:name="Times-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CD8" w:rsidRPr="00D625C6" w:rsidRDefault="007F1CD8">
    <w:pPr>
      <w:pStyle w:val="Footer"/>
      <w:rPr>
        <w:sz w:val="16"/>
      </w:rPr>
    </w:pPr>
    <w:r w:rsidRPr="00D625C6">
      <w:rPr>
        <w:sz w:val="16"/>
      </w:rPr>
      <w:t>Template version 7.</w:t>
    </w:r>
    <w:r>
      <w:rPr>
        <w:sz w:val="16"/>
      </w:rPr>
      <w:t>2a</w:t>
    </w:r>
    <w:r w:rsidRPr="00D625C6">
      <w:rPr>
        <w:sz w:val="16"/>
      </w:rPr>
      <w:t xml:space="preserve">, </w:t>
    </w:r>
    <w:r>
      <w:rPr>
        <w:sz w:val="16"/>
      </w:rPr>
      <w:t>04 August</w:t>
    </w:r>
    <w:r w:rsidRPr="00D625C6">
      <w:rPr>
        <w:sz w:val="16"/>
      </w:rPr>
      <w:t xml:space="preserve"> 2016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61E2" w:rsidRDefault="00F261E2" w:rsidP="00141FE2"/>
  </w:footnote>
  <w:footnote w:type="continuationSeparator" w:id="0">
    <w:p w:rsidR="00F261E2" w:rsidRDefault="00F261E2" w:rsidP="00141FE2">
      <w:r>
        <w:continuationSeparator/>
      </w:r>
    </w:p>
  </w:footnote>
  <w:footnote w:id="1">
    <w:p w:rsidR="007F1CD8" w:rsidRDefault="007F1CD8" w:rsidP="00493016">
      <w:pPr>
        <w:pStyle w:val="FootnoteText"/>
        <w:rPr>
          <w:lang w:val="en-US"/>
        </w:rPr>
      </w:pPr>
      <w:r w:rsidRPr="00316892">
        <w:rPr>
          <w:lang w:val="en-US"/>
        </w:rPr>
        <w:t>The work of E. F. Holik was sup</w:t>
      </w:r>
      <w:r>
        <w:rPr>
          <w:lang w:val="en-US"/>
        </w:rPr>
        <w:t xml:space="preserve">ported by the Toohig Fellowship </w:t>
      </w:r>
      <w:r w:rsidRPr="00316892">
        <w:rPr>
          <w:lang w:val="en-US"/>
        </w:rPr>
        <w:t>in Accelerator Science from the US LHC Accelerator Research Program.</w:t>
      </w:r>
      <w:r>
        <w:rPr>
          <w:lang w:val="en-US"/>
        </w:rPr>
        <w:t xml:space="preserve"> </w:t>
      </w:r>
      <w:r w:rsidRPr="00316892">
        <w:rPr>
          <w:lang w:val="en-US"/>
        </w:rPr>
        <w:t>This</w:t>
      </w:r>
      <w:r>
        <w:rPr>
          <w:sz w:val="20"/>
          <w:szCs w:val="20"/>
          <w:lang w:val="en-US" w:eastAsia="en-US"/>
        </w:rPr>
        <w:t xml:space="preserve"> </w:t>
      </w:r>
      <w:r>
        <w:rPr>
          <w:lang w:val="en-US"/>
        </w:rPr>
        <w:t>w</w:t>
      </w:r>
      <w:r w:rsidRPr="00316892">
        <w:rPr>
          <w:lang w:val="en-US"/>
        </w:rPr>
        <w:t>ork</w:t>
      </w:r>
      <w:r>
        <w:rPr>
          <w:lang w:val="en-US"/>
        </w:rPr>
        <w:t xml:space="preserve"> was</w:t>
      </w:r>
      <w:r w:rsidRPr="00316892">
        <w:rPr>
          <w:lang w:val="en-US"/>
        </w:rPr>
        <w:t xml:space="preserve"> supported by the US Department of Energy through the US LHC Accelerato</w:t>
      </w:r>
      <w:r>
        <w:rPr>
          <w:lang w:val="en-US"/>
        </w:rPr>
        <w:t>r Research Program (LARP) and by the High Luminosity LHC Project at CERN.</w:t>
      </w:r>
    </w:p>
    <w:p w:rsidR="007F1CD8" w:rsidRPr="00316892" w:rsidRDefault="007F1CD8" w:rsidP="00493016">
      <w:pPr>
        <w:pStyle w:val="FootnoteText"/>
        <w:rPr>
          <w:lang w:val="en-US"/>
        </w:rPr>
      </w:pPr>
      <w:r w:rsidRPr="00316892">
        <w:rPr>
          <w:lang w:val="en-US"/>
        </w:rPr>
        <w:t xml:space="preserve">E. F. Holik, </w:t>
      </w:r>
      <w:r>
        <w:rPr>
          <w:lang w:val="en-US"/>
        </w:rPr>
        <w:t>is</w:t>
      </w:r>
      <w:r w:rsidRPr="00316892">
        <w:rPr>
          <w:lang w:val="en-US"/>
        </w:rPr>
        <w:t xml:space="preserve"> with</w:t>
      </w:r>
      <w:r>
        <w:rPr>
          <w:lang w:val="en-US"/>
        </w:rPr>
        <w:t xml:space="preserve"> Angelo State University, San Angelo, TX, 76904 USA and </w:t>
      </w:r>
      <w:r w:rsidRPr="00316892">
        <w:rPr>
          <w:lang w:val="en-US"/>
        </w:rPr>
        <w:t>Fermi National Accelerator Laboratory, Batavia, IL 60510 USA</w:t>
      </w:r>
      <w:r>
        <w:rPr>
          <w:lang w:val="en-US"/>
        </w:rPr>
        <w:br/>
      </w:r>
      <w:r w:rsidRPr="00316892">
        <w:rPr>
          <w:lang w:val="en-US"/>
        </w:rPr>
        <w:t>(e-mail: eholik@fnal.gov).</w:t>
      </w:r>
    </w:p>
    <w:p w:rsidR="007F1CD8" w:rsidRPr="00316892" w:rsidRDefault="007F1CD8" w:rsidP="00493016">
      <w:pPr>
        <w:pStyle w:val="FootnoteText"/>
        <w:rPr>
          <w:lang w:val="en-US"/>
        </w:rPr>
      </w:pPr>
      <w:r w:rsidRPr="00316892">
        <w:rPr>
          <w:lang w:val="en-US"/>
        </w:rPr>
        <w:t>G. Ambrosio</w:t>
      </w:r>
      <w:r>
        <w:rPr>
          <w:lang w:val="en-US"/>
        </w:rPr>
        <w:t xml:space="preserve">, A. Carbonara, and C. Santini </w:t>
      </w:r>
      <w:r w:rsidRPr="00316892">
        <w:rPr>
          <w:lang w:val="en-US"/>
        </w:rPr>
        <w:t>are with the Fermi National Accelerator Laboratory, Batavia, IL 60510 USA</w:t>
      </w:r>
    </w:p>
    <w:p w:rsidR="007F1CD8" w:rsidRPr="00316892" w:rsidRDefault="007F1CD8" w:rsidP="00493016">
      <w:pPr>
        <w:pStyle w:val="FootnoteText"/>
        <w:rPr>
          <w:lang w:val="en-US"/>
        </w:rPr>
      </w:pPr>
      <w:r w:rsidRPr="00316892">
        <w:rPr>
          <w:lang w:val="en-US"/>
        </w:rPr>
        <w:t>J. Sch</w:t>
      </w:r>
      <w:r>
        <w:rPr>
          <w:lang w:val="en-US"/>
        </w:rPr>
        <w:t xml:space="preserve">malzle is with Brookhaven </w:t>
      </w:r>
      <w:r w:rsidRPr="00316892">
        <w:rPr>
          <w:lang w:val="en-US"/>
        </w:rPr>
        <w:t>National Laboratory, Upton, NY 11973 USA.</w:t>
      </w:r>
    </w:p>
    <w:p w:rsidR="007F1CD8" w:rsidRPr="00493016" w:rsidRDefault="007F1CD8" w:rsidP="00493016">
      <w:pPr>
        <w:pStyle w:val="FootnoteText"/>
        <w:rPr>
          <w:i/>
          <w:lang w:val="en-US"/>
        </w:rPr>
      </w:pPr>
      <w:r w:rsidRPr="00316892">
        <w:rPr>
          <w:lang w:val="en-US"/>
        </w:rPr>
        <w:t>D. R. Dietderich, I. Pon</w:t>
      </w:r>
      <w:r>
        <w:rPr>
          <w:lang w:val="en-US"/>
        </w:rPr>
        <w:t xml:space="preserve">g, G. L. Sabbi, and X. Wang are with the </w:t>
      </w:r>
      <w:r w:rsidRPr="00316892">
        <w:rPr>
          <w:lang w:val="en-US"/>
        </w:rPr>
        <w:t>Lawrence</w:t>
      </w:r>
      <w:r>
        <w:rPr>
          <w:lang w:val="en-US"/>
        </w:rPr>
        <w:t xml:space="preserve"> </w:t>
      </w:r>
      <w:r w:rsidRPr="00316892">
        <w:rPr>
          <w:lang w:val="en-US"/>
        </w:rPr>
        <w:t>Berkeley National Laboratory, Berkley, CA 94720 USA.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CD8" w:rsidRDefault="007F1CD8">
    <w:pPr>
      <w:framePr w:wrap="around" w:vAnchor="text" w:hAnchor="margin" w:xAlign="right" w:y="1"/>
    </w:pPr>
    <w:r>
      <w:fldChar w:fldCharType="begin"/>
    </w:r>
    <w:r>
      <w:instrText xml:space="preserve">PAGE  </w:instrText>
    </w:r>
    <w:r>
      <w:fldChar w:fldCharType="separate"/>
    </w:r>
    <w:r>
      <w:rPr>
        <w:noProof/>
      </w:rPr>
      <w:t>1</w:t>
    </w:r>
    <w:r>
      <w:fldChar w:fldCharType="end"/>
    </w:r>
  </w:p>
  <w:p w:rsidR="007F1CD8" w:rsidRDefault="007F1CD8">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CD8" w:rsidRDefault="007F1CD8">
    <w:pPr>
      <w:framePr w:wrap="around" w:vAnchor="text" w:hAnchor="margin" w:xAlign="right" w:y="1"/>
    </w:pPr>
    <w:r>
      <w:fldChar w:fldCharType="begin"/>
    </w:r>
    <w:r>
      <w:instrText xml:space="preserve">PAGE  </w:instrText>
    </w:r>
    <w:r>
      <w:fldChar w:fldCharType="separate"/>
    </w:r>
    <w:r w:rsidR="001C7B92">
      <w:rPr>
        <w:noProof/>
      </w:rPr>
      <w:t>3</w:t>
    </w:r>
    <w:r>
      <w:fldChar w:fldCharType="end"/>
    </w:r>
  </w:p>
  <w:p w:rsidR="007F1CD8" w:rsidRDefault="007F1CD8">
    <w:pPr>
      <w:ind w:right="360"/>
    </w:pPr>
    <w:r w:rsidRPr="00F36A5D">
      <w:t>4LPo1G-04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CD8" w:rsidRDefault="007F1CD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CA141542"/>
    <w:lvl w:ilvl="0">
      <w:start w:val="1"/>
      <w:numFmt w:val="upperRoman"/>
      <w:pStyle w:val="Heading1"/>
      <w:lvlText w:val="%1."/>
      <w:legacy w:legacy="1" w:legacySpace="144" w:legacyIndent="144"/>
      <w:lvlJc w:val="left"/>
      <w:rPr>
        <w:rFonts w:cs="Times New Roman"/>
      </w:rPr>
    </w:lvl>
    <w:lvl w:ilvl="1">
      <w:start w:val="1"/>
      <w:numFmt w:val="upperLetter"/>
      <w:pStyle w:val="Heading2"/>
      <w:lvlText w:val="%2."/>
      <w:legacy w:legacy="1" w:legacySpace="144" w:legacyIndent="144"/>
      <w:lvlJc w:val="left"/>
      <w:rPr>
        <w:rFonts w:cs="Times New Roman"/>
      </w:rPr>
    </w:lvl>
    <w:lvl w:ilvl="2">
      <w:start w:val="1"/>
      <w:numFmt w:val="decimal"/>
      <w:pStyle w:val="Heading3"/>
      <w:lvlText w:val="%3)"/>
      <w:legacy w:legacy="1" w:legacySpace="144" w:legacyIndent="144"/>
      <w:lvlJc w:val="left"/>
      <w:rPr>
        <w:rFonts w:cs="Times New Roman"/>
      </w:rPr>
    </w:lvl>
    <w:lvl w:ilvl="3">
      <w:start w:val="1"/>
      <w:numFmt w:val="lowerLetter"/>
      <w:pStyle w:val="Heading4"/>
      <w:lvlText w:val="%4)"/>
      <w:legacy w:legacy="1" w:legacySpace="0" w:legacyIndent="720"/>
      <w:lvlJc w:val="left"/>
      <w:pPr>
        <w:ind w:left="1152" w:hanging="720"/>
      </w:pPr>
      <w:rPr>
        <w:rFonts w:cs="Times New Roman"/>
      </w:rPr>
    </w:lvl>
    <w:lvl w:ilvl="4">
      <w:start w:val="1"/>
      <w:numFmt w:val="decimal"/>
      <w:pStyle w:val="Heading5"/>
      <w:lvlText w:val="(%5)"/>
      <w:legacy w:legacy="1" w:legacySpace="0" w:legacyIndent="720"/>
      <w:lvlJc w:val="left"/>
      <w:pPr>
        <w:ind w:left="1872" w:hanging="720"/>
      </w:pPr>
      <w:rPr>
        <w:rFonts w:cs="Times New Roman"/>
      </w:rPr>
    </w:lvl>
    <w:lvl w:ilvl="5">
      <w:start w:val="1"/>
      <w:numFmt w:val="lowerLetter"/>
      <w:pStyle w:val="Heading6"/>
      <w:lvlText w:val="(%6)"/>
      <w:legacy w:legacy="1" w:legacySpace="0" w:legacyIndent="720"/>
      <w:lvlJc w:val="left"/>
      <w:pPr>
        <w:ind w:left="2592" w:hanging="720"/>
      </w:pPr>
      <w:rPr>
        <w:rFonts w:cs="Times New Roman"/>
      </w:rPr>
    </w:lvl>
    <w:lvl w:ilvl="6">
      <w:start w:val="1"/>
      <w:numFmt w:val="lowerRoman"/>
      <w:pStyle w:val="Heading7"/>
      <w:lvlText w:val="(%7)"/>
      <w:legacy w:legacy="1" w:legacySpace="0" w:legacyIndent="720"/>
      <w:lvlJc w:val="left"/>
      <w:pPr>
        <w:ind w:left="3312" w:hanging="720"/>
      </w:pPr>
      <w:rPr>
        <w:rFonts w:cs="Times New Roman"/>
      </w:rPr>
    </w:lvl>
    <w:lvl w:ilvl="7">
      <w:start w:val="1"/>
      <w:numFmt w:val="lowerLetter"/>
      <w:pStyle w:val="Heading8"/>
      <w:lvlText w:val="(%8)"/>
      <w:legacy w:legacy="1" w:legacySpace="0" w:legacyIndent="720"/>
      <w:lvlJc w:val="left"/>
      <w:pPr>
        <w:ind w:left="4032" w:hanging="720"/>
      </w:pPr>
      <w:rPr>
        <w:rFonts w:cs="Times New Roman"/>
      </w:rPr>
    </w:lvl>
    <w:lvl w:ilvl="8">
      <w:start w:val="1"/>
      <w:numFmt w:val="lowerRoman"/>
      <w:pStyle w:val="Heading9"/>
      <w:lvlText w:val="(%9)"/>
      <w:legacy w:legacy="1" w:legacySpace="0" w:legacyIndent="720"/>
      <w:lvlJc w:val="left"/>
      <w:pPr>
        <w:ind w:left="4752" w:hanging="720"/>
      </w:pPr>
      <w:rPr>
        <w:rFonts w:cs="Times New Roman"/>
      </w:rPr>
    </w:lvl>
  </w:abstractNum>
  <w:abstractNum w:abstractNumId="1" w15:restartNumberingAfterBreak="0">
    <w:nsid w:val="1BCD4ABB"/>
    <w:multiLevelType w:val="hybridMultilevel"/>
    <w:tmpl w:val="439AE3B6"/>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2" w15:restartNumberingAfterBreak="0">
    <w:nsid w:val="288F2A48"/>
    <w:multiLevelType w:val="hybridMultilevel"/>
    <w:tmpl w:val="87809A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290BF2"/>
    <w:multiLevelType w:val="hybridMultilevel"/>
    <w:tmpl w:val="EEE42D44"/>
    <w:lvl w:ilvl="0" w:tplc="04090011">
      <w:start w:val="1"/>
      <w:numFmt w:val="decimal"/>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4" w15:restartNumberingAfterBreak="0">
    <w:nsid w:val="3A877D64"/>
    <w:multiLevelType w:val="singleLevel"/>
    <w:tmpl w:val="5DA6FC16"/>
    <w:lvl w:ilvl="0">
      <w:start w:val="1"/>
      <w:numFmt w:val="decimal"/>
      <w:pStyle w:val="References"/>
      <w:lvlText w:val="[%1]"/>
      <w:lvlJc w:val="left"/>
      <w:pPr>
        <w:tabs>
          <w:tab w:val="num" w:pos="360"/>
        </w:tabs>
        <w:ind w:left="360" w:hanging="360"/>
      </w:pPr>
      <w:rPr>
        <w:rFonts w:cs="Times New Roman"/>
      </w:rPr>
    </w:lvl>
  </w:abstractNum>
  <w:abstractNum w:abstractNumId="5" w15:restartNumberingAfterBreak="0">
    <w:nsid w:val="4A1B3BEF"/>
    <w:multiLevelType w:val="hybridMultilevel"/>
    <w:tmpl w:val="F63C238A"/>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6" w15:restartNumberingAfterBreak="0">
    <w:nsid w:val="4D4B7369"/>
    <w:multiLevelType w:val="hybridMultilevel"/>
    <w:tmpl w:val="B274BC34"/>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7" w15:restartNumberingAfterBreak="0">
    <w:nsid w:val="508E2446"/>
    <w:multiLevelType w:val="hybridMultilevel"/>
    <w:tmpl w:val="A2DC5CA2"/>
    <w:lvl w:ilvl="0" w:tplc="0409000F">
      <w:start w:val="1"/>
      <w:numFmt w:val="decimal"/>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8" w15:restartNumberingAfterBreak="0">
    <w:nsid w:val="57B15CB0"/>
    <w:multiLevelType w:val="hybridMultilevel"/>
    <w:tmpl w:val="A2DC5CA2"/>
    <w:lvl w:ilvl="0" w:tplc="0409000F">
      <w:start w:val="1"/>
      <w:numFmt w:val="decimal"/>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9" w15:restartNumberingAfterBreak="0">
    <w:nsid w:val="592F380B"/>
    <w:multiLevelType w:val="hybridMultilevel"/>
    <w:tmpl w:val="6E52CB1E"/>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10" w15:restartNumberingAfterBreak="0">
    <w:nsid w:val="70621E58"/>
    <w:multiLevelType w:val="hybridMultilevel"/>
    <w:tmpl w:val="5BCAAABA"/>
    <w:lvl w:ilvl="0" w:tplc="5F0812E6">
      <w:start w:val="1"/>
      <w:numFmt w:val="decimal"/>
      <w:lvlText w:val="%1."/>
      <w:lvlJc w:val="left"/>
      <w:pPr>
        <w:ind w:left="592" w:hanging="390"/>
      </w:pPr>
      <w:rPr>
        <w:rFonts w:hint="default"/>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11" w15:restartNumberingAfterBreak="0">
    <w:nsid w:val="78AF226F"/>
    <w:multiLevelType w:val="hybridMultilevel"/>
    <w:tmpl w:val="362C9E2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4"/>
  </w:num>
  <w:num w:numId="3">
    <w:abstractNumId w:val="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2"/>
  </w:num>
  <w:num w:numId="7">
    <w:abstractNumId w:val="3"/>
  </w:num>
  <w:num w:numId="8">
    <w:abstractNumId w:val="10"/>
  </w:num>
  <w:num w:numId="9">
    <w:abstractNumId w:val="7"/>
  </w:num>
  <w:num w:numId="10">
    <w:abstractNumId w:val="8"/>
  </w:num>
  <w:num w:numId="11">
    <w:abstractNumId w:val="5"/>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41FE2"/>
    <w:rsid w:val="00005296"/>
    <w:rsid w:val="00014842"/>
    <w:rsid w:val="000217CE"/>
    <w:rsid w:val="0002387D"/>
    <w:rsid w:val="00030454"/>
    <w:rsid w:val="0003565B"/>
    <w:rsid w:val="00045453"/>
    <w:rsid w:val="000468EC"/>
    <w:rsid w:val="00062117"/>
    <w:rsid w:val="00062FA5"/>
    <w:rsid w:val="00084C59"/>
    <w:rsid w:val="00090B00"/>
    <w:rsid w:val="000A2E16"/>
    <w:rsid w:val="000A46F4"/>
    <w:rsid w:val="000C21B6"/>
    <w:rsid w:val="000C228A"/>
    <w:rsid w:val="000C541B"/>
    <w:rsid w:val="000D61C9"/>
    <w:rsid w:val="000E3C21"/>
    <w:rsid w:val="000E6C51"/>
    <w:rsid w:val="001038C7"/>
    <w:rsid w:val="00104210"/>
    <w:rsid w:val="00104252"/>
    <w:rsid w:val="00120295"/>
    <w:rsid w:val="00122900"/>
    <w:rsid w:val="0012355A"/>
    <w:rsid w:val="0012531C"/>
    <w:rsid w:val="00141FE2"/>
    <w:rsid w:val="001559E1"/>
    <w:rsid w:val="00157210"/>
    <w:rsid w:val="00174366"/>
    <w:rsid w:val="0017683C"/>
    <w:rsid w:val="00177BC5"/>
    <w:rsid w:val="001A5C0F"/>
    <w:rsid w:val="001B68AA"/>
    <w:rsid w:val="001C349E"/>
    <w:rsid w:val="001C5944"/>
    <w:rsid w:val="001C7B92"/>
    <w:rsid w:val="001D3BF5"/>
    <w:rsid w:val="001D5ADE"/>
    <w:rsid w:val="001D6126"/>
    <w:rsid w:val="001F2047"/>
    <w:rsid w:val="001F77DE"/>
    <w:rsid w:val="0020139C"/>
    <w:rsid w:val="00203872"/>
    <w:rsid w:val="00215C9F"/>
    <w:rsid w:val="002255CD"/>
    <w:rsid w:val="00231E93"/>
    <w:rsid w:val="00236439"/>
    <w:rsid w:val="002404E7"/>
    <w:rsid w:val="0025198E"/>
    <w:rsid w:val="00252473"/>
    <w:rsid w:val="0025549F"/>
    <w:rsid w:val="00255987"/>
    <w:rsid w:val="0025666B"/>
    <w:rsid w:val="00257DDF"/>
    <w:rsid w:val="00263CF8"/>
    <w:rsid w:val="002668AB"/>
    <w:rsid w:val="0027415A"/>
    <w:rsid w:val="002800CC"/>
    <w:rsid w:val="00281A25"/>
    <w:rsid w:val="00282345"/>
    <w:rsid w:val="00292759"/>
    <w:rsid w:val="00292B9D"/>
    <w:rsid w:val="00296382"/>
    <w:rsid w:val="00296965"/>
    <w:rsid w:val="00296DA6"/>
    <w:rsid w:val="002B2F86"/>
    <w:rsid w:val="002C3669"/>
    <w:rsid w:val="002D254C"/>
    <w:rsid w:val="002D73B1"/>
    <w:rsid w:val="002E247F"/>
    <w:rsid w:val="002E3E22"/>
    <w:rsid w:val="002E4488"/>
    <w:rsid w:val="00304373"/>
    <w:rsid w:val="00310B6A"/>
    <w:rsid w:val="0031462F"/>
    <w:rsid w:val="003161D4"/>
    <w:rsid w:val="00321956"/>
    <w:rsid w:val="0034089F"/>
    <w:rsid w:val="00344C86"/>
    <w:rsid w:val="00345620"/>
    <w:rsid w:val="00362A01"/>
    <w:rsid w:val="00382E49"/>
    <w:rsid w:val="00384558"/>
    <w:rsid w:val="00391040"/>
    <w:rsid w:val="0039135C"/>
    <w:rsid w:val="003915E3"/>
    <w:rsid w:val="00394618"/>
    <w:rsid w:val="003A2B59"/>
    <w:rsid w:val="003A5009"/>
    <w:rsid w:val="003B147F"/>
    <w:rsid w:val="003B3DC6"/>
    <w:rsid w:val="003C04E7"/>
    <w:rsid w:val="003C211F"/>
    <w:rsid w:val="003D0797"/>
    <w:rsid w:val="003D592E"/>
    <w:rsid w:val="003D7530"/>
    <w:rsid w:val="003E486B"/>
    <w:rsid w:val="003F5342"/>
    <w:rsid w:val="00430A49"/>
    <w:rsid w:val="00430E81"/>
    <w:rsid w:val="0043117A"/>
    <w:rsid w:val="00446B8F"/>
    <w:rsid w:val="00455E75"/>
    <w:rsid w:val="00467926"/>
    <w:rsid w:val="00474EB4"/>
    <w:rsid w:val="004879EC"/>
    <w:rsid w:val="00493016"/>
    <w:rsid w:val="0049315A"/>
    <w:rsid w:val="004A5067"/>
    <w:rsid w:val="004A6895"/>
    <w:rsid w:val="004D1B19"/>
    <w:rsid w:val="004D3577"/>
    <w:rsid w:val="004D67C4"/>
    <w:rsid w:val="004D6E57"/>
    <w:rsid w:val="004E677C"/>
    <w:rsid w:val="00500DA0"/>
    <w:rsid w:val="00503CAF"/>
    <w:rsid w:val="005051A8"/>
    <w:rsid w:val="005146EC"/>
    <w:rsid w:val="005162DA"/>
    <w:rsid w:val="00521CF4"/>
    <w:rsid w:val="0052262A"/>
    <w:rsid w:val="00522C97"/>
    <w:rsid w:val="00541B63"/>
    <w:rsid w:val="00552216"/>
    <w:rsid w:val="00553D83"/>
    <w:rsid w:val="0055448E"/>
    <w:rsid w:val="00555AAA"/>
    <w:rsid w:val="00564309"/>
    <w:rsid w:val="00565A97"/>
    <w:rsid w:val="005718E2"/>
    <w:rsid w:val="00580D96"/>
    <w:rsid w:val="0058527E"/>
    <w:rsid w:val="00590ADE"/>
    <w:rsid w:val="00596AC8"/>
    <w:rsid w:val="005B29C7"/>
    <w:rsid w:val="005B4708"/>
    <w:rsid w:val="005B4CA5"/>
    <w:rsid w:val="005B61C6"/>
    <w:rsid w:val="005C001C"/>
    <w:rsid w:val="005D1213"/>
    <w:rsid w:val="005D7825"/>
    <w:rsid w:val="005E09A5"/>
    <w:rsid w:val="005E3786"/>
    <w:rsid w:val="006034DC"/>
    <w:rsid w:val="00632DB0"/>
    <w:rsid w:val="006416E7"/>
    <w:rsid w:val="006416EE"/>
    <w:rsid w:val="00643CA1"/>
    <w:rsid w:val="00646256"/>
    <w:rsid w:val="00651C5F"/>
    <w:rsid w:val="006539BE"/>
    <w:rsid w:val="0065430C"/>
    <w:rsid w:val="006575DD"/>
    <w:rsid w:val="00670F59"/>
    <w:rsid w:val="00671305"/>
    <w:rsid w:val="00673722"/>
    <w:rsid w:val="00673BBA"/>
    <w:rsid w:val="00673F54"/>
    <w:rsid w:val="00682088"/>
    <w:rsid w:val="0068425A"/>
    <w:rsid w:val="00685D3A"/>
    <w:rsid w:val="0068629F"/>
    <w:rsid w:val="006956B1"/>
    <w:rsid w:val="006A6B43"/>
    <w:rsid w:val="006B6706"/>
    <w:rsid w:val="006C2291"/>
    <w:rsid w:val="006D0BDE"/>
    <w:rsid w:val="006E5054"/>
    <w:rsid w:val="0070503C"/>
    <w:rsid w:val="00707679"/>
    <w:rsid w:val="00712C52"/>
    <w:rsid w:val="0072143C"/>
    <w:rsid w:val="007224D7"/>
    <w:rsid w:val="00727A3D"/>
    <w:rsid w:val="007663EC"/>
    <w:rsid w:val="0078053F"/>
    <w:rsid w:val="00785DF2"/>
    <w:rsid w:val="007A119E"/>
    <w:rsid w:val="007A6B4E"/>
    <w:rsid w:val="007A77A4"/>
    <w:rsid w:val="007B5A75"/>
    <w:rsid w:val="007C2A26"/>
    <w:rsid w:val="007E309D"/>
    <w:rsid w:val="007E63EE"/>
    <w:rsid w:val="007E6C4A"/>
    <w:rsid w:val="007F181B"/>
    <w:rsid w:val="007F1CD8"/>
    <w:rsid w:val="007F5ED8"/>
    <w:rsid w:val="007F6B58"/>
    <w:rsid w:val="007F7580"/>
    <w:rsid w:val="00801C1E"/>
    <w:rsid w:val="00801C6B"/>
    <w:rsid w:val="0080230A"/>
    <w:rsid w:val="0080235C"/>
    <w:rsid w:val="00802C4B"/>
    <w:rsid w:val="008047DB"/>
    <w:rsid w:val="00805B16"/>
    <w:rsid w:val="00806EA8"/>
    <w:rsid w:val="0081062D"/>
    <w:rsid w:val="008111EC"/>
    <w:rsid w:val="00814FF7"/>
    <w:rsid w:val="00821669"/>
    <w:rsid w:val="0082298A"/>
    <w:rsid w:val="0083423F"/>
    <w:rsid w:val="00836135"/>
    <w:rsid w:val="008365FE"/>
    <w:rsid w:val="00840508"/>
    <w:rsid w:val="00843813"/>
    <w:rsid w:val="00845468"/>
    <w:rsid w:val="00845EE8"/>
    <w:rsid w:val="00850EFC"/>
    <w:rsid w:val="008559A0"/>
    <w:rsid w:val="00856BA2"/>
    <w:rsid w:val="0086259E"/>
    <w:rsid w:val="00862B8F"/>
    <w:rsid w:val="0088663E"/>
    <w:rsid w:val="00895F5A"/>
    <w:rsid w:val="00897206"/>
    <w:rsid w:val="008B7FBE"/>
    <w:rsid w:val="008C03DD"/>
    <w:rsid w:val="008C45F8"/>
    <w:rsid w:val="008C66A9"/>
    <w:rsid w:val="008D3A99"/>
    <w:rsid w:val="008D4B26"/>
    <w:rsid w:val="008D55E7"/>
    <w:rsid w:val="008D62DB"/>
    <w:rsid w:val="008D7351"/>
    <w:rsid w:val="008D7B96"/>
    <w:rsid w:val="008E0E77"/>
    <w:rsid w:val="008E30ED"/>
    <w:rsid w:val="008E5643"/>
    <w:rsid w:val="009014AF"/>
    <w:rsid w:val="00903C56"/>
    <w:rsid w:val="0090475E"/>
    <w:rsid w:val="009102B9"/>
    <w:rsid w:val="00924043"/>
    <w:rsid w:val="009335C1"/>
    <w:rsid w:val="00933F62"/>
    <w:rsid w:val="0093639A"/>
    <w:rsid w:val="00937930"/>
    <w:rsid w:val="00942693"/>
    <w:rsid w:val="009504C9"/>
    <w:rsid w:val="00956B5E"/>
    <w:rsid w:val="009630D6"/>
    <w:rsid w:val="00980964"/>
    <w:rsid w:val="00982255"/>
    <w:rsid w:val="00982A62"/>
    <w:rsid w:val="0099035A"/>
    <w:rsid w:val="009C241F"/>
    <w:rsid w:val="009C396A"/>
    <w:rsid w:val="009D4D96"/>
    <w:rsid w:val="009E1106"/>
    <w:rsid w:val="009F04E5"/>
    <w:rsid w:val="009F150B"/>
    <w:rsid w:val="009F3717"/>
    <w:rsid w:val="009F4E61"/>
    <w:rsid w:val="00A06728"/>
    <w:rsid w:val="00A15553"/>
    <w:rsid w:val="00A155D2"/>
    <w:rsid w:val="00A1717F"/>
    <w:rsid w:val="00A24C51"/>
    <w:rsid w:val="00A24DDD"/>
    <w:rsid w:val="00A470C9"/>
    <w:rsid w:val="00A5085C"/>
    <w:rsid w:val="00A565FD"/>
    <w:rsid w:val="00A642ED"/>
    <w:rsid w:val="00A72D7C"/>
    <w:rsid w:val="00A73A82"/>
    <w:rsid w:val="00A7461B"/>
    <w:rsid w:val="00A80417"/>
    <w:rsid w:val="00A8468F"/>
    <w:rsid w:val="00A86526"/>
    <w:rsid w:val="00A86DAF"/>
    <w:rsid w:val="00A95DB8"/>
    <w:rsid w:val="00AA06E0"/>
    <w:rsid w:val="00AA43A2"/>
    <w:rsid w:val="00AA76E3"/>
    <w:rsid w:val="00AB021A"/>
    <w:rsid w:val="00AB7CBB"/>
    <w:rsid w:val="00AD143E"/>
    <w:rsid w:val="00AD1B80"/>
    <w:rsid w:val="00AD22F0"/>
    <w:rsid w:val="00AD3745"/>
    <w:rsid w:val="00AF323D"/>
    <w:rsid w:val="00B31C5A"/>
    <w:rsid w:val="00B36160"/>
    <w:rsid w:val="00B40067"/>
    <w:rsid w:val="00B66120"/>
    <w:rsid w:val="00B72072"/>
    <w:rsid w:val="00B727C4"/>
    <w:rsid w:val="00B76CB9"/>
    <w:rsid w:val="00B776AA"/>
    <w:rsid w:val="00B80945"/>
    <w:rsid w:val="00B84994"/>
    <w:rsid w:val="00B85712"/>
    <w:rsid w:val="00B9536D"/>
    <w:rsid w:val="00BC63C1"/>
    <w:rsid w:val="00BD7871"/>
    <w:rsid w:val="00C0798F"/>
    <w:rsid w:val="00C1739F"/>
    <w:rsid w:val="00C26A7E"/>
    <w:rsid w:val="00C30FAF"/>
    <w:rsid w:val="00C34C78"/>
    <w:rsid w:val="00C35C44"/>
    <w:rsid w:val="00C634DA"/>
    <w:rsid w:val="00C6374A"/>
    <w:rsid w:val="00C8176E"/>
    <w:rsid w:val="00C81EE4"/>
    <w:rsid w:val="00C97654"/>
    <w:rsid w:val="00CB6A1A"/>
    <w:rsid w:val="00CD1D38"/>
    <w:rsid w:val="00CD1F04"/>
    <w:rsid w:val="00CD2C4C"/>
    <w:rsid w:val="00CD713F"/>
    <w:rsid w:val="00CE5217"/>
    <w:rsid w:val="00CF36E5"/>
    <w:rsid w:val="00D0600B"/>
    <w:rsid w:val="00D139CC"/>
    <w:rsid w:val="00D2383F"/>
    <w:rsid w:val="00D25C7C"/>
    <w:rsid w:val="00D273EB"/>
    <w:rsid w:val="00D46A19"/>
    <w:rsid w:val="00D47CDB"/>
    <w:rsid w:val="00D521E9"/>
    <w:rsid w:val="00D548DE"/>
    <w:rsid w:val="00D57274"/>
    <w:rsid w:val="00D625C6"/>
    <w:rsid w:val="00D67906"/>
    <w:rsid w:val="00D67B83"/>
    <w:rsid w:val="00D74810"/>
    <w:rsid w:val="00D846B0"/>
    <w:rsid w:val="00DB1B4F"/>
    <w:rsid w:val="00DD1870"/>
    <w:rsid w:val="00DD72F8"/>
    <w:rsid w:val="00E1091D"/>
    <w:rsid w:val="00E27981"/>
    <w:rsid w:val="00E36AC7"/>
    <w:rsid w:val="00E472D5"/>
    <w:rsid w:val="00E5549E"/>
    <w:rsid w:val="00E63021"/>
    <w:rsid w:val="00E65390"/>
    <w:rsid w:val="00E73CFF"/>
    <w:rsid w:val="00E860F4"/>
    <w:rsid w:val="00E96F25"/>
    <w:rsid w:val="00EA1B11"/>
    <w:rsid w:val="00EA3024"/>
    <w:rsid w:val="00EA37EF"/>
    <w:rsid w:val="00EA3FD4"/>
    <w:rsid w:val="00EA6769"/>
    <w:rsid w:val="00EB504D"/>
    <w:rsid w:val="00EC1C01"/>
    <w:rsid w:val="00ED0917"/>
    <w:rsid w:val="00EE1902"/>
    <w:rsid w:val="00EF2087"/>
    <w:rsid w:val="00EF5EF5"/>
    <w:rsid w:val="00EF6154"/>
    <w:rsid w:val="00EF7052"/>
    <w:rsid w:val="00F020F6"/>
    <w:rsid w:val="00F24788"/>
    <w:rsid w:val="00F261E2"/>
    <w:rsid w:val="00F2791F"/>
    <w:rsid w:val="00F27FEB"/>
    <w:rsid w:val="00F334F1"/>
    <w:rsid w:val="00F33A04"/>
    <w:rsid w:val="00F36A5D"/>
    <w:rsid w:val="00F4366B"/>
    <w:rsid w:val="00F4465B"/>
    <w:rsid w:val="00F45B7A"/>
    <w:rsid w:val="00F45CE8"/>
    <w:rsid w:val="00F465E5"/>
    <w:rsid w:val="00F50A7C"/>
    <w:rsid w:val="00F56327"/>
    <w:rsid w:val="00F67AC1"/>
    <w:rsid w:val="00F71E30"/>
    <w:rsid w:val="00F76291"/>
    <w:rsid w:val="00F96422"/>
    <w:rsid w:val="00FA0D6E"/>
    <w:rsid w:val="00FA0E95"/>
    <w:rsid w:val="00FA7986"/>
    <w:rsid w:val="00FD36E1"/>
    <w:rsid w:val="00FD6D5B"/>
    <w:rsid w:val="00FE7189"/>
    <w:rsid w:val="00FF11E9"/>
    <w:rsid w:val="00FF1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6"/>
    <o:shapelayout v:ext="edit">
      <o:idmap v:ext="edit" data="1"/>
    </o:shapelayout>
  </w:shapeDefaults>
  <w:decimalSymbol w:val="."/>
  <w:listSeparator w:val=","/>
  <w15:docId w15:val="{12D2542D-6469-427C-9080-6568F26BF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1FE2"/>
  </w:style>
  <w:style w:type="paragraph" w:styleId="Heading1">
    <w:name w:val="heading 1"/>
    <w:basedOn w:val="Normal"/>
    <w:next w:val="Normal"/>
    <w:link w:val="Heading1Char"/>
    <w:uiPriority w:val="99"/>
    <w:qFormat/>
    <w:rsid w:val="00141FE2"/>
    <w:pPr>
      <w:keepNext/>
      <w:numPr>
        <w:numId w:val="1"/>
      </w:numPr>
      <w:spacing w:before="240" w:after="80"/>
      <w:jc w:val="center"/>
      <w:outlineLvl w:val="0"/>
    </w:pPr>
    <w:rPr>
      <w:smallCaps/>
      <w:kern w:val="28"/>
      <w:lang w:val="x-none" w:eastAsia="x-none"/>
    </w:rPr>
  </w:style>
  <w:style w:type="paragraph" w:styleId="Heading2">
    <w:name w:val="heading 2"/>
    <w:basedOn w:val="Normal"/>
    <w:next w:val="Normal"/>
    <w:link w:val="Heading2Char"/>
    <w:uiPriority w:val="99"/>
    <w:qFormat/>
    <w:rsid w:val="00F76291"/>
    <w:pPr>
      <w:keepNext/>
      <w:numPr>
        <w:ilvl w:val="1"/>
        <w:numId w:val="1"/>
      </w:numPr>
      <w:spacing w:before="120" w:after="60"/>
      <w:outlineLvl w:val="1"/>
    </w:pPr>
    <w:rPr>
      <w:i/>
      <w:iCs/>
      <w:lang w:eastAsia="x-none"/>
    </w:rPr>
  </w:style>
  <w:style w:type="paragraph" w:styleId="Heading3">
    <w:name w:val="heading 3"/>
    <w:basedOn w:val="Normal"/>
    <w:next w:val="Normal"/>
    <w:link w:val="Heading3Char"/>
    <w:uiPriority w:val="99"/>
    <w:qFormat/>
    <w:rsid w:val="00141FE2"/>
    <w:pPr>
      <w:keepNext/>
      <w:numPr>
        <w:ilvl w:val="2"/>
        <w:numId w:val="1"/>
      </w:numPr>
      <w:ind w:left="288"/>
      <w:outlineLvl w:val="2"/>
    </w:pPr>
    <w:rPr>
      <w:i/>
      <w:iCs/>
      <w:lang w:val="x-none" w:eastAsia="x-none"/>
    </w:rPr>
  </w:style>
  <w:style w:type="paragraph" w:styleId="Heading4">
    <w:name w:val="heading 4"/>
    <w:basedOn w:val="Normal"/>
    <w:next w:val="Normal"/>
    <w:link w:val="Heading4Char"/>
    <w:uiPriority w:val="99"/>
    <w:qFormat/>
    <w:rsid w:val="00141FE2"/>
    <w:pPr>
      <w:keepNext/>
      <w:numPr>
        <w:ilvl w:val="3"/>
        <w:numId w:val="1"/>
      </w:numPr>
      <w:spacing w:before="240" w:after="60"/>
      <w:outlineLvl w:val="3"/>
    </w:pPr>
    <w:rPr>
      <w:i/>
      <w:iCs/>
      <w:sz w:val="18"/>
      <w:szCs w:val="18"/>
      <w:lang w:val="x-none" w:eastAsia="x-none"/>
    </w:rPr>
  </w:style>
  <w:style w:type="paragraph" w:styleId="Heading5">
    <w:name w:val="heading 5"/>
    <w:basedOn w:val="Normal"/>
    <w:next w:val="Normal"/>
    <w:link w:val="Heading5Char"/>
    <w:uiPriority w:val="99"/>
    <w:qFormat/>
    <w:rsid w:val="00141FE2"/>
    <w:pPr>
      <w:numPr>
        <w:ilvl w:val="4"/>
        <w:numId w:val="1"/>
      </w:numPr>
      <w:spacing w:before="240" w:after="60"/>
      <w:outlineLvl w:val="4"/>
    </w:pPr>
    <w:rPr>
      <w:sz w:val="18"/>
      <w:szCs w:val="18"/>
      <w:lang w:val="x-none" w:eastAsia="x-none"/>
    </w:rPr>
  </w:style>
  <w:style w:type="paragraph" w:styleId="Heading6">
    <w:name w:val="heading 6"/>
    <w:basedOn w:val="Normal"/>
    <w:next w:val="Normal"/>
    <w:link w:val="Heading6Char"/>
    <w:uiPriority w:val="99"/>
    <w:qFormat/>
    <w:rsid w:val="00141FE2"/>
    <w:pPr>
      <w:numPr>
        <w:ilvl w:val="5"/>
        <w:numId w:val="1"/>
      </w:numPr>
      <w:spacing w:before="240" w:after="60"/>
      <w:outlineLvl w:val="5"/>
    </w:pPr>
    <w:rPr>
      <w:i/>
      <w:iCs/>
      <w:sz w:val="16"/>
      <w:szCs w:val="16"/>
      <w:lang w:val="x-none" w:eastAsia="x-none"/>
    </w:rPr>
  </w:style>
  <w:style w:type="paragraph" w:styleId="Heading7">
    <w:name w:val="heading 7"/>
    <w:basedOn w:val="Normal"/>
    <w:next w:val="Normal"/>
    <w:link w:val="Heading7Char"/>
    <w:uiPriority w:val="99"/>
    <w:qFormat/>
    <w:rsid w:val="00141FE2"/>
    <w:pPr>
      <w:numPr>
        <w:ilvl w:val="6"/>
        <w:numId w:val="1"/>
      </w:numPr>
      <w:spacing w:before="240" w:after="60"/>
      <w:outlineLvl w:val="6"/>
    </w:pPr>
    <w:rPr>
      <w:sz w:val="16"/>
      <w:szCs w:val="16"/>
      <w:lang w:val="x-none" w:eastAsia="x-none"/>
    </w:rPr>
  </w:style>
  <w:style w:type="paragraph" w:styleId="Heading8">
    <w:name w:val="heading 8"/>
    <w:basedOn w:val="Normal"/>
    <w:next w:val="Normal"/>
    <w:link w:val="Heading8Char"/>
    <w:uiPriority w:val="99"/>
    <w:qFormat/>
    <w:rsid w:val="00141FE2"/>
    <w:pPr>
      <w:numPr>
        <w:ilvl w:val="7"/>
        <w:numId w:val="1"/>
      </w:numPr>
      <w:spacing w:before="240" w:after="60"/>
      <w:outlineLvl w:val="7"/>
    </w:pPr>
    <w:rPr>
      <w:i/>
      <w:iCs/>
      <w:sz w:val="16"/>
      <w:szCs w:val="16"/>
      <w:lang w:val="x-none" w:eastAsia="x-none"/>
    </w:rPr>
  </w:style>
  <w:style w:type="paragraph" w:styleId="Heading9">
    <w:name w:val="heading 9"/>
    <w:basedOn w:val="Normal"/>
    <w:next w:val="Normal"/>
    <w:link w:val="Heading9Char"/>
    <w:uiPriority w:val="99"/>
    <w:qFormat/>
    <w:rsid w:val="00141FE2"/>
    <w:pPr>
      <w:numPr>
        <w:ilvl w:val="8"/>
        <w:numId w:val="1"/>
      </w:numPr>
      <w:spacing w:before="240" w:after="60"/>
      <w:outlineLvl w:val="8"/>
    </w:pPr>
    <w:rPr>
      <w:sz w:val="16"/>
      <w:szCs w:val="1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141FE2"/>
    <w:rPr>
      <w:smallCaps/>
      <w:kern w:val="28"/>
    </w:rPr>
  </w:style>
  <w:style w:type="character" w:customStyle="1" w:styleId="Heading2Char">
    <w:name w:val="Heading 2 Char"/>
    <w:link w:val="Heading2"/>
    <w:uiPriority w:val="99"/>
    <w:rsid w:val="00F76291"/>
    <w:rPr>
      <w:i/>
      <w:iCs/>
      <w:lang w:eastAsia="x-none"/>
    </w:rPr>
  </w:style>
  <w:style w:type="character" w:customStyle="1" w:styleId="Heading3Char">
    <w:name w:val="Heading 3 Char"/>
    <w:link w:val="Heading3"/>
    <w:uiPriority w:val="99"/>
    <w:rsid w:val="00141FE2"/>
    <w:rPr>
      <w:i/>
      <w:iCs/>
    </w:rPr>
  </w:style>
  <w:style w:type="character" w:customStyle="1" w:styleId="Heading4Char">
    <w:name w:val="Heading 4 Char"/>
    <w:link w:val="Heading4"/>
    <w:uiPriority w:val="99"/>
    <w:rsid w:val="00141FE2"/>
    <w:rPr>
      <w:i/>
      <w:iCs/>
      <w:sz w:val="18"/>
      <w:szCs w:val="18"/>
    </w:rPr>
  </w:style>
  <w:style w:type="character" w:customStyle="1" w:styleId="Heading5Char">
    <w:name w:val="Heading 5 Char"/>
    <w:link w:val="Heading5"/>
    <w:uiPriority w:val="99"/>
    <w:rsid w:val="00141FE2"/>
    <w:rPr>
      <w:sz w:val="18"/>
      <w:szCs w:val="18"/>
    </w:rPr>
  </w:style>
  <w:style w:type="character" w:customStyle="1" w:styleId="Heading6Char">
    <w:name w:val="Heading 6 Char"/>
    <w:link w:val="Heading6"/>
    <w:uiPriority w:val="99"/>
    <w:rsid w:val="00141FE2"/>
    <w:rPr>
      <w:i/>
      <w:iCs/>
      <w:sz w:val="16"/>
      <w:szCs w:val="16"/>
    </w:rPr>
  </w:style>
  <w:style w:type="character" w:customStyle="1" w:styleId="Heading7Char">
    <w:name w:val="Heading 7 Char"/>
    <w:link w:val="Heading7"/>
    <w:uiPriority w:val="99"/>
    <w:rsid w:val="00141FE2"/>
    <w:rPr>
      <w:sz w:val="16"/>
      <w:szCs w:val="16"/>
    </w:rPr>
  </w:style>
  <w:style w:type="character" w:customStyle="1" w:styleId="Heading8Char">
    <w:name w:val="Heading 8 Char"/>
    <w:link w:val="Heading8"/>
    <w:uiPriority w:val="99"/>
    <w:rsid w:val="00141FE2"/>
    <w:rPr>
      <w:i/>
      <w:iCs/>
      <w:sz w:val="16"/>
      <w:szCs w:val="16"/>
    </w:rPr>
  </w:style>
  <w:style w:type="character" w:customStyle="1" w:styleId="Heading9Char">
    <w:name w:val="Heading 9 Char"/>
    <w:link w:val="Heading9"/>
    <w:uiPriority w:val="99"/>
    <w:rsid w:val="00141FE2"/>
    <w:rPr>
      <w:sz w:val="16"/>
      <w:szCs w:val="16"/>
    </w:rPr>
  </w:style>
  <w:style w:type="paragraph" w:customStyle="1" w:styleId="Abstract">
    <w:name w:val="Abstract"/>
    <w:basedOn w:val="Normal"/>
    <w:next w:val="Normal"/>
    <w:uiPriority w:val="99"/>
    <w:rsid w:val="00141FE2"/>
    <w:pPr>
      <w:spacing w:before="20"/>
      <w:ind w:firstLine="202"/>
      <w:jc w:val="both"/>
    </w:pPr>
    <w:rPr>
      <w:b/>
      <w:bCs/>
      <w:sz w:val="18"/>
      <w:szCs w:val="18"/>
    </w:rPr>
  </w:style>
  <w:style w:type="paragraph" w:customStyle="1" w:styleId="Authors">
    <w:name w:val="Authors"/>
    <w:basedOn w:val="Normal"/>
    <w:next w:val="Normal"/>
    <w:uiPriority w:val="99"/>
    <w:rsid w:val="00141FE2"/>
    <w:pPr>
      <w:jc w:val="center"/>
    </w:pPr>
    <w:rPr>
      <w:sz w:val="22"/>
      <w:szCs w:val="22"/>
    </w:rPr>
  </w:style>
  <w:style w:type="paragraph" w:styleId="Title">
    <w:name w:val="Title"/>
    <w:basedOn w:val="Normal"/>
    <w:next w:val="Normal"/>
    <w:link w:val="TitleChar"/>
    <w:uiPriority w:val="99"/>
    <w:qFormat/>
    <w:rsid w:val="00141FE2"/>
    <w:pPr>
      <w:jc w:val="center"/>
    </w:pPr>
    <w:rPr>
      <w:b/>
      <w:bCs/>
      <w:kern w:val="28"/>
      <w:sz w:val="34"/>
      <w:szCs w:val="34"/>
      <w:lang w:val="x-none" w:eastAsia="x-none"/>
    </w:rPr>
  </w:style>
  <w:style w:type="character" w:customStyle="1" w:styleId="TitleChar">
    <w:name w:val="Title Char"/>
    <w:link w:val="Title"/>
    <w:uiPriority w:val="99"/>
    <w:rsid w:val="00141FE2"/>
    <w:rPr>
      <w:b/>
      <w:bCs/>
      <w:kern w:val="28"/>
      <w:sz w:val="34"/>
      <w:szCs w:val="34"/>
    </w:rPr>
  </w:style>
  <w:style w:type="paragraph" w:styleId="FootnoteText">
    <w:name w:val="footnote text"/>
    <w:basedOn w:val="Normal"/>
    <w:link w:val="FootnoteTextChar"/>
    <w:uiPriority w:val="99"/>
    <w:rsid w:val="00141FE2"/>
    <w:pPr>
      <w:ind w:firstLine="202"/>
      <w:jc w:val="both"/>
    </w:pPr>
    <w:rPr>
      <w:sz w:val="16"/>
      <w:szCs w:val="16"/>
      <w:lang w:val="x-none" w:eastAsia="x-none"/>
    </w:rPr>
  </w:style>
  <w:style w:type="character" w:customStyle="1" w:styleId="FootnoteTextChar">
    <w:name w:val="Footnote Text Char"/>
    <w:link w:val="FootnoteText"/>
    <w:uiPriority w:val="99"/>
    <w:rsid w:val="00141FE2"/>
    <w:rPr>
      <w:sz w:val="16"/>
      <w:szCs w:val="16"/>
    </w:rPr>
  </w:style>
  <w:style w:type="paragraph" w:customStyle="1" w:styleId="References">
    <w:name w:val="References"/>
    <w:basedOn w:val="Normal"/>
    <w:link w:val="ReferencesChar1"/>
    <w:qFormat/>
    <w:rsid w:val="00141FE2"/>
    <w:pPr>
      <w:numPr>
        <w:numId w:val="2"/>
      </w:numPr>
      <w:jc w:val="both"/>
    </w:pPr>
    <w:rPr>
      <w:sz w:val="16"/>
      <w:szCs w:val="16"/>
    </w:rPr>
  </w:style>
  <w:style w:type="paragraph" w:customStyle="1" w:styleId="IndexTerms">
    <w:name w:val="IndexTerms"/>
    <w:basedOn w:val="Normal"/>
    <w:next w:val="Normal"/>
    <w:uiPriority w:val="99"/>
    <w:rsid w:val="00141FE2"/>
    <w:pPr>
      <w:ind w:firstLine="202"/>
      <w:jc w:val="both"/>
    </w:pPr>
    <w:rPr>
      <w:b/>
      <w:bCs/>
      <w:sz w:val="18"/>
      <w:szCs w:val="18"/>
    </w:rPr>
  </w:style>
  <w:style w:type="character" w:styleId="FootnoteReference">
    <w:name w:val="footnote reference"/>
    <w:uiPriority w:val="99"/>
    <w:rsid w:val="00141FE2"/>
    <w:rPr>
      <w:rFonts w:cs="Times New Roman"/>
      <w:vertAlign w:val="superscript"/>
    </w:rPr>
  </w:style>
  <w:style w:type="paragraph" w:customStyle="1" w:styleId="Text">
    <w:name w:val="Text"/>
    <w:basedOn w:val="Normal"/>
    <w:rsid w:val="00141FE2"/>
    <w:pPr>
      <w:widowControl w:val="0"/>
      <w:spacing w:line="252" w:lineRule="auto"/>
      <w:ind w:firstLine="202"/>
      <w:jc w:val="both"/>
    </w:pPr>
  </w:style>
  <w:style w:type="paragraph" w:customStyle="1" w:styleId="FigureCaption">
    <w:name w:val="Figure Caption"/>
    <w:basedOn w:val="Normal"/>
    <w:uiPriority w:val="99"/>
    <w:rsid w:val="00141FE2"/>
    <w:pPr>
      <w:jc w:val="both"/>
    </w:pPr>
    <w:rPr>
      <w:sz w:val="16"/>
      <w:szCs w:val="16"/>
    </w:rPr>
  </w:style>
  <w:style w:type="paragraph" w:customStyle="1" w:styleId="TableTitle">
    <w:name w:val="Table Title"/>
    <w:basedOn w:val="Normal"/>
    <w:uiPriority w:val="99"/>
    <w:rsid w:val="00141FE2"/>
    <w:pPr>
      <w:jc w:val="center"/>
    </w:pPr>
    <w:rPr>
      <w:smallCaps/>
      <w:sz w:val="16"/>
      <w:szCs w:val="16"/>
    </w:rPr>
  </w:style>
  <w:style w:type="paragraph" w:customStyle="1" w:styleId="ReferenceHead">
    <w:name w:val="Reference Head"/>
    <w:basedOn w:val="Heading1"/>
    <w:uiPriority w:val="99"/>
    <w:rsid w:val="00141FE2"/>
    <w:pPr>
      <w:numPr>
        <w:numId w:val="0"/>
      </w:numPr>
    </w:pPr>
  </w:style>
  <w:style w:type="paragraph" w:customStyle="1" w:styleId="Equation">
    <w:name w:val="Equation"/>
    <w:basedOn w:val="Normal"/>
    <w:next w:val="Normal"/>
    <w:uiPriority w:val="99"/>
    <w:rsid w:val="00141FE2"/>
    <w:pPr>
      <w:widowControl w:val="0"/>
      <w:tabs>
        <w:tab w:val="right" w:pos="5040"/>
      </w:tabs>
      <w:spacing w:line="252" w:lineRule="auto"/>
      <w:jc w:val="both"/>
    </w:pPr>
  </w:style>
  <w:style w:type="paragraph" w:customStyle="1" w:styleId="Affiliations">
    <w:name w:val="Affiliations"/>
    <w:basedOn w:val="Normal"/>
    <w:uiPriority w:val="99"/>
    <w:rsid w:val="00141FE2"/>
    <w:pPr>
      <w:jc w:val="center"/>
    </w:pPr>
  </w:style>
  <w:style w:type="paragraph" w:styleId="BalloonText">
    <w:name w:val="Balloon Text"/>
    <w:basedOn w:val="Normal"/>
    <w:link w:val="BalloonTextChar"/>
    <w:rsid w:val="00141FE2"/>
    <w:rPr>
      <w:rFonts w:ascii="Tahoma" w:hAnsi="Tahoma"/>
      <w:sz w:val="16"/>
      <w:szCs w:val="16"/>
      <w:lang w:val="x-none" w:eastAsia="x-none"/>
    </w:rPr>
  </w:style>
  <w:style w:type="character" w:customStyle="1" w:styleId="BalloonTextChar">
    <w:name w:val="Balloon Text Char"/>
    <w:link w:val="BalloonText"/>
    <w:rsid w:val="00141FE2"/>
    <w:rPr>
      <w:rFonts w:ascii="Tahoma" w:hAnsi="Tahoma" w:cs="Tahoma"/>
      <w:sz w:val="16"/>
      <w:szCs w:val="16"/>
    </w:rPr>
  </w:style>
  <w:style w:type="paragraph" w:styleId="Footer">
    <w:name w:val="footer"/>
    <w:basedOn w:val="Normal"/>
    <w:link w:val="FooterChar"/>
    <w:rsid w:val="007F181B"/>
    <w:pPr>
      <w:tabs>
        <w:tab w:val="center" w:pos="4680"/>
        <w:tab w:val="right" w:pos="9360"/>
      </w:tabs>
    </w:pPr>
  </w:style>
  <w:style w:type="character" w:customStyle="1" w:styleId="FooterChar">
    <w:name w:val="Footer Char"/>
    <w:basedOn w:val="DefaultParagraphFont"/>
    <w:link w:val="Footer"/>
    <w:rsid w:val="007F181B"/>
  </w:style>
  <w:style w:type="paragraph" w:styleId="Header">
    <w:name w:val="header"/>
    <w:basedOn w:val="Normal"/>
    <w:link w:val="HeaderChar"/>
    <w:rsid w:val="007F181B"/>
    <w:pPr>
      <w:tabs>
        <w:tab w:val="center" w:pos="4680"/>
        <w:tab w:val="right" w:pos="9360"/>
      </w:tabs>
    </w:pPr>
  </w:style>
  <w:style w:type="character" w:customStyle="1" w:styleId="HeaderChar">
    <w:name w:val="Header Char"/>
    <w:basedOn w:val="DefaultParagraphFont"/>
    <w:link w:val="Header"/>
    <w:rsid w:val="007F181B"/>
  </w:style>
  <w:style w:type="character" w:styleId="CommentReference">
    <w:name w:val="annotation reference"/>
    <w:rsid w:val="00845EE8"/>
    <w:rPr>
      <w:sz w:val="16"/>
      <w:szCs w:val="16"/>
    </w:rPr>
  </w:style>
  <w:style w:type="paragraph" w:styleId="CommentText">
    <w:name w:val="annotation text"/>
    <w:basedOn w:val="Normal"/>
    <w:link w:val="CommentTextChar"/>
    <w:rsid w:val="00845EE8"/>
  </w:style>
  <w:style w:type="character" w:customStyle="1" w:styleId="CommentTextChar">
    <w:name w:val="Comment Text Char"/>
    <w:basedOn w:val="DefaultParagraphFont"/>
    <w:link w:val="CommentText"/>
    <w:rsid w:val="00845EE8"/>
  </w:style>
  <w:style w:type="paragraph" w:styleId="CommentSubject">
    <w:name w:val="annotation subject"/>
    <w:basedOn w:val="CommentText"/>
    <w:next w:val="CommentText"/>
    <w:link w:val="CommentSubjectChar"/>
    <w:rsid w:val="00845EE8"/>
    <w:rPr>
      <w:b/>
      <w:bCs/>
      <w:lang w:val="x-none" w:eastAsia="x-none"/>
    </w:rPr>
  </w:style>
  <w:style w:type="character" w:customStyle="1" w:styleId="CommentSubjectChar">
    <w:name w:val="Comment Subject Char"/>
    <w:link w:val="CommentSubject"/>
    <w:rsid w:val="00845EE8"/>
    <w:rPr>
      <w:b/>
      <w:bCs/>
    </w:rPr>
  </w:style>
  <w:style w:type="character" w:styleId="Hyperlink">
    <w:name w:val="Hyperlink"/>
    <w:rsid w:val="00845EE8"/>
    <w:rPr>
      <w:color w:val="0000FF"/>
      <w:u w:val="single"/>
    </w:rPr>
  </w:style>
  <w:style w:type="paragraph" w:styleId="ListParagraph">
    <w:name w:val="List Paragraph"/>
    <w:basedOn w:val="Normal"/>
    <w:uiPriority w:val="34"/>
    <w:qFormat/>
    <w:rsid w:val="00A5085C"/>
    <w:pPr>
      <w:ind w:left="720"/>
    </w:pPr>
    <w:rPr>
      <w:rFonts w:ascii="Calibri" w:eastAsia="Calibri" w:hAnsi="Calibri"/>
      <w:sz w:val="22"/>
      <w:szCs w:val="22"/>
    </w:rPr>
  </w:style>
  <w:style w:type="character" w:customStyle="1" w:styleId="shorttext">
    <w:name w:val="short_text"/>
    <w:rsid w:val="004D67C4"/>
  </w:style>
  <w:style w:type="character" w:styleId="LineNumber">
    <w:name w:val="line number"/>
    <w:basedOn w:val="DefaultParagraphFont"/>
    <w:rsid w:val="00D625C6"/>
  </w:style>
  <w:style w:type="paragraph" w:styleId="NoSpacing">
    <w:name w:val="No Spacing"/>
    <w:uiPriority w:val="1"/>
    <w:qFormat/>
    <w:rsid w:val="0002387D"/>
  </w:style>
  <w:style w:type="character" w:styleId="SubtleEmphasis">
    <w:name w:val="Subtle Emphasis"/>
    <w:uiPriority w:val="19"/>
    <w:qFormat/>
    <w:rsid w:val="0002387D"/>
    <w:rPr>
      <w:i/>
      <w:iCs/>
      <w:color w:val="404040"/>
    </w:rPr>
  </w:style>
  <w:style w:type="character" w:styleId="IntenseEmphasis">
    <w:name w:val="Intense Emphasis"/>
    <w:uiPriority w:val="21"/>
    <w:qFormat/>
    <w:rsid w:val="0002387D"/>
    <w:rPr>
      <w:i/>
      <w:iCs/>
      <w:color w:val="5B9BD5"/>
    </w:rPr>
  </w:style>
  <w:style w:type="paragraph" w:styleId="Quote">
    <w:name w:val="Quote"/>
    <w:basedOn w:val="Normal"/>
    <w:next w:val="Normal"/>
    <w:link w:val="QuoteChar"/>
    <w:uiPriority w:val="29"/>
    <w:qFormat/>
    <w:rsid w:val="0002387D"/>
    <w:pPr>
      <w:spacing w:before="200" w:after="160"/>
      <w:ind w:left="864" w:right="864"/>
      <w:jc w:val="center"/>
    </w:pPr>
    <w:rPr>
      <w:i/>
      <w:iCs/>
      <w:color w:val="404040"/>
    </w:rPr>
  </w:style>
  <w:style w:type="character" w:customStyle="1" w:styleId="QuoteChar">
    <w:name w:val="Quote Char"/>
    <w:link w:val="Quote"/>
    <w:uiPriority w:val="29"/>
    <w:rsid w:val="0002387D"/>
    <w:rPr>
      <w:i/>
      <w:iCs/>
      <w:color w:val="404040"/>
    </w:rPr>
  </w:style>
  <w:style w:type="character" w:styleId="SubtleReference">
    <w:name w:val="Subtle Reference"/>
    <w:uiPriority w:val="31"/>
    <w:qFormat/>
    <w:rsid w:val="0002387D"/>
    <w:rPr>
      <w:smallCaps/>
      <w:color w:val="5A5A5A"/>
    </w:rPr>
  </w:style>
  <w:style w:type="character" w:customStyle="1" w:styleId="ReferencesChar1">
    <w:name w:val="References Char1"/>
    <w:link w:val="References"/>
    <w:locked/>
    <w:rsid w:val="00231E9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295993">
      <w:bodyDiv w:val="1"/>
      <w:marLeft w:val="0"/>
      <w:marRight w:val="0"/>
      <w:marTop w:val="0"/>
      <w:marBottom w:val="0"/>
      <w:divBdr>
        <w:top w:val="none" w:sz="0" w:space="0" w:color="auto"/>
        <w:left w:val="none" w:sz="0" w:space="0" w:color="auto"/>
        <w:bottom w:val="none" w:sz="0" w:space="0" w:color="auto"/>
        <w:right w:val="none" w:sz="0" w:space="0" w:color="auto"/>
      </w:divBdr>
    </w:div>
    <w:div w:id="1580289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7.png"/><Relationship Id="rId25" Type="http://schemas.openxmlformats.org/officeDocument/2006/relationships/hyperlink" Target="https://www.comsol.com/paper/download/83731/rodriguez_paper.pdf"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www.uslarp.org/LARP_Proposal.pdf"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A30FB-C81E-465E-8D16-16607EA99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2643</Words>
  <Characters>15069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IEEE</Company>
  <LinksUpToDate>false</LinksUpToDate>
  <CharactersWithSpaces>17677</CharactersWithSpaces>
  <SharedDoc>false</SharedDoc>
  <HLinks>
    <vt:vector size="18" baseType="variant">
      <vt:variant>
        <vt:i4>5767243</vt:i4>
      </vt:variant>
      <vt:variant>
        <vt:i4>6</vt:i4>
      </vt:variant>
      <vt:variant>
        <vt:i4>0</vt:i4>
      </vt:variant>
      <vt:variant>
        <vt:i4>5</vt:i4>
      </vt:variant>
      <vt:variant>
        <vt:lpwstr>http://www.mathtype.com/</vt:lpwstr>
      </vt:variant>
      <vt:variant>
        <vt:lpwstr/>
      </vt:variant>
      <vt:variant>
        <vt:i4>4325383</vt:i4>
      </vt:variant>
      <vt:variant>
        <vt:i4>3</vt:i4>
      </vt:variant>
      <vt:variant>
        <vt:i4>0</vt:i4>
      </vt:variant>
      <vt:variant>
        <vt:i4>5</vt:i4>
      </vt:variant>
      <vt:variant>
        <vt:lpwstr>http://www.adobe.com/support/downloads/</vt:lpwstr>
      </vt:variant>
      <vt:variant>
        <vt:lpwstr>Printer</vt:lpwstr>
      </vt:variant>
      <vt:variant>
        <vt:i4>7143425</vt:i4>
      </vt:variant>
      <vt:variant>
        <vt:i4>0</vt:i4>
      </vt:variant>
      <vt:variant>
        <vt:i4>0</vt:i4>
      </vt:variant>
      <vt:variant>
        <vt:i4>5</vt:i4>
      </vt:variant>
      <vt:variant>
        <vt:lpwstr>mailto:oprs-support@ieee.org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IEEE_TASC Editor</dc:creator>
  <cp:keywords/>
  <cp:lastModifiedBy>Eddie Holik x 30930N</cp:lastModifiedBy>
  <cp:revision>2</cp:revision>
  <cp:lastPrinted>2016-09-04T23:36:00Z</cp:lastPrinted>
  <dcterms:created xsi:type="dcterms:W3CDTF">2017-01-17T23:09:00Z</dcterms:created>
  <dcterms:modified xsi:type="dcterms:W3CDTF">2017-01-17T23:09:00Z</dcterms:modified>
</cp:coreProperties>
</file>